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61DDD257" w:rsidR="0038629F" w:rsidRPr="00261FB4" w:rsidRDefault="009E3E95">
      <w:pPr>
        <w:spacing w:after="120"/>
        <w:ind w:left="1985" w:hanging="1985"/>
        <w:rPr>
          <w:rFonts w:ascii="Arial" w:eastAsiaTheme="minorEastAsia" w:hAnsi="Arial" w:cs="Arial"/>
          <w:b/>
          <w:sz w:val="24"/>
          <w:szCs w:val="24"/>
          <w:lang w:eastAsia="zh-CN"/>
        </w:rPr>
      </w:pPr>
      <w:r w:rsidRPr="00261FB4">
        <w:rPr>
          <w:rFonts w:ascii="Arial" w:eastAsiaTheme="minorEastAsia" w:hAnsi="Arial" w:cs="Arial"/>
          <w:b/>
          <w:sz w:val="24"/>
          <w:szCs w:val="24"/>
          <w:lang w:eastAsia="zh-CN"/>
        </w:rPr>
        <w:t>3GPP TSG-RAN WG4 Meeting # 10</w:t>
      </w:r>
      <w:r w:rsidR="00477A9B">
        <w:rPr>
          <w:rFonts w:ascii="Arial" w:eastAsiaTheme="minorEastAsia" w:hAnsi="Arial" w:cs="Arial"/>
          <w:b/>
          <w:sz w:val="24"/>
          <w:szCs w:val="24"/>
          <w:lang w:eastAsia="zh-CN"/>
        </w:rPr>
        <w:t>6</w:t>
      </w:r>
      <w:r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303940" w:rsidRPr="00261FB4">
        <w:rPr>
          <w:rFonts w:ascii="Arial" w:eastAsiaTheme="minorEastAsia" w:hAnsi="Arial" w:cs="Arial"/>
          <w:b/>
          <w:sz w:val="24"/>
          <w:szCs w:val="24"/>
          <w:lang w:eastAsia="zh-CN"/>
        </w:rPr>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t xml:space="preserve">    </w:t>
      </w:r>
      <w:r w:rsidRPr="00261FB4">
        <w:rPr>
          <w:rFonts w:ascii="Arial" w:eastAsiaTheme="minorEastAsia" w:hAnsi="Arial" w:cs="Arial"/>
          <w:b/>
          <w:sz w:val="24"/>
          <w:szCs w:val="24"/>
          <w:lang w:eastAsia="zh-CN"/>
        </w:rPr>
        <w:tab/>
      </w:r>
      <w:r w:rsidRPr="00261FB4">
        <w:rPr>
          <w:rFonts w:ascii="Arial" w:eastAsiaTheme="minorEastAsia" w:hAnsi="Arial" w:cs="Arial"/>
          <w:b/>
          <w:sz w:val="24"/>
          <w:szCs w:val="24"/>
          <w:lang w:eastAsia="zh-CN"/>
        </w:rPr>
        <w:tab/>
      </w:r>
      <w:r w:rsidR="00C37544" w:rsidRPr="00261FB4">
        <w:rPr>
          <w:rFonts w:ascii="Arial" w:eastAsiaTheme="minorEastAsia" w:hAnsi="Arial" w:cs="Arial"/>
          <w:b/>
          <w:sz w:val="24"/>
          <w:szCs w:val="24"/>
          <w:lang w:eastAsia="zh-CN"/>
        </w:rPr>
        <w:t xml:space="preserve">        </w:t>
      </w:r>
      <w:r w:rsidR="00216D97" w:rsidRPr="00261FB4">
        <w:rPr>
          <w:rFonts w:ascii="Arial" w:eastAsiaTheme="minorEastAsia" w:hAnsi="Arial" w:cs="Arial"/>
          <w:b/>
          <w:sz w:val="24"/>
          <w:szCs w:val="24"/>
          <w:lang w:eastAsia="zh-CN"/>
        </w:rPr>
        <w:t xml:space="preserve">        </w:t>
      </w:r>
      <w:r w:rsidR="00EE2A18" w:rsidRPr="00261FB4">
        <w:rPr>
          <w:rFonts w:ascii="Arial" w:eastAsiaTheme="minorEastAsia" w:hAnsi="Arial" w:cs="Arial"/>
          <w:b/>
          <w:sz w:val="24"/>
          <w:szCs w:val="24"/>
          <w:lang w:eastAsia="zh-CN"/>
        </w:rPr>
        <w:t xml:space="preserve"> </w:t>
      </w:r>
      <w:r w:rsidRPr="00D03B9C">
        <w:rPr>
          <w:rFonts w:ascii="Arial" w:eastAsiaTheme="minorEastAsia" w:hAnsi="Arial" w:cs="Arial"/>
          <w:b/>
          <w:sz w:val="24"/>
          <w:szCs w:val="24"/>
          <w:lang w:eastAsia="zh-CN"/>
        </w:rPr>
        <w:t>R4-</w:t>
      </w:r>
      <w:r w:rsidR="00D03B9C" w:rsidRPr="00D03B9C">
        <w:t xml:space="preserve"> </w:t>
      </w:r>
      <w:r w:rsidR="00D03B9C" w:rsidRPr="00D03B9C">
        <w:rPr>
          <w:rFonts w:ascii="Arial" w:eastAsiaTheme="minorEastAsia" w:hAnsi="Arial" w:cs="Arial"/>
          <w:b/>
          <w:sz w:val="24"/>
          <w:szCs w:val="24"/>
          <w:lang w:eastAsia="zh-CN"/>
        </w:rPr>
        <w:t>2</w:t>
      </w:r>
      <w:r w:rsidR="00147B90">
        <w:rPr>
          <w:rFonts w:ascii="Arial" w:eastAsiaTheme="minorEastAsia" w:hAnsi="Arial" w:cs="Arial"/>
          <w:b/>
          <w:sz w:val="24"/>
          <w:szCs w:val="24"/>
          <w:lang w:eastAsia="zh-CN"/>
        </w:rPr>
        <w:t>3</w:t>
      </w:r>
      <w:r w:rsidR="0076448A">
        <w:rPr>
          <w:rFonts w:ascii="Arial" w:eastAsiaTheme="minorEastAsia" w:hAnsi="Arial" w:cs="Arial"/>
          <w:b/>
          <w:sz w:val="24"/>
          <w:szCs w:val="24"/>
          <w:lang w:eastAsia="zh-CN"/>
        </w:rPr>
        <w:t>01013</w:t>
      </w:r>
    </w:p>
    <w:p w14:paraId="1A1643AF" w14:textId="64E54027" w:rsidR="0038629F" w:rsidRDefault="00477A9B">
      <w:pPr>
        <w:spacing w:after="120"/>
        <w:ind w:left="1985" w:hanging="1985"/>
        <w:rPr>
          <w:rFonts w:ascii="Arial" w:hAnsi="Arial" w:cs="Arial"/>
          <w:b/>
          <w:sz w:val="24"/>
          <w:szCs w:val="24"/>
          <w:lang w:eastAsia="zh-CN"/>
        </w:rPr>
      </w:pPr>
      <w:r>
        <w:rPr>
          <w:rFonts w:ascii="Arial" w:hAnsi="Arial" w:cs="Arial" w:hint="eastAsia"/>
          <w:b/>
          <w:sz w:val="24"/>
          <w:szCs w:val="24"/>
          <w:lang w:eastAsia="zh-CN"/>
        </w:rPr>
        <w:t>At</w:t>
      </w:r>
      <w:r>
        <w:rPr>
          <w:rFonts w:ascii="Arial" w:hAnsi="Arial" w:cs="Arial"/>
          <w:b/>
          <w:sz w:val="24"/>
          <w:szCs w:val="24"/>
          <w:lang w:eastAsia="zh-CN"/>
        </w:rPr>
        <w:t>hens</w:t>
      </w:r>
      <w:r w:rsidR="003F5037" w:rsidRPr="00E13633">
        <w:rPr>
          <w:rFonts w:ascii="Arial" w:hAnsi="Arial" w:cs="Arial"/>
          <w:b/>
          <w:sz w:val="24"/>
          <w:szCs w:val="24"/>
          <w:lang w:eastAsia="zh-CN"/>
        </w:rPr>
        <w:t>,</w:t>
      </w:r>
      <w:r w:rsidR="003F5037">
        <w:rPr>
          <w:rFonts w:ascii="Arial" w:hAnsi="Arial" w:cs="Arial"/>
          <w:b/>
          <w:sz w:val="24"/>
          <w:szCs w:val="24"/>
          <w:lang w:eastAsia="zh-CN"/>
        </w:rPr>
        <w:t xml:space="preserve"> </w:t>
      </w:r>
      <w:r>
        <w:rPr>
          <w:rFonts w:ascii="Arial" w:hAnsi="Arial" w:cs="Arial"/>
          <w:b/>
          <w:sz w:val="24"/>
          <w:szCs w:val="24"/>
          <w:lang w:eastAsia="zh-CN"/>
        </w:rPr>
        <w:t>Greece</w:t>
      </w:r>
      <w:r w:rsidR="003F5037">
        <w:rPr>
          <w:rFonts w:ascii="Arial" w:hAnsi="Arial" w:cs="Arial"/>
          <w:b/>
          <w:sz w:val="24"/>
          <w:szCs w:val="24"/>
          <w:lang w:eastAsia="zh-CN"/>
        </w:rPr>
        <w:t>,</w:t>
      </w:r>
      <w:r w:rsidR="003F5037" w:rsidRPr="00E13633">
        <w:rPr>
          <w:rFonts w:ascii="Arial" w:hAnsi="Arial" w:cs="Arial"/>
          <w:b/>
          <w:sz w:val="24"/>
          <w:szCs w:val="24"/>
          <w:lang w:eastAsia="zh-CN"/>
        </w:rPr>
        <w:t xml:space="preserve"> </w:t>
      </w:r>
      <w:r>
        <w:rPr>
          <w:rFonts w:ascii="Arial" w:hAnsi="Arial" w:cs="Arial"/>
          <w:b/>
          <w:sz w:val="24"/>
          <w:szCs w:val="24"/>
          <w:lang w:eastAsia="zh-CN"/>
        </w:rPr>
        <w:t>February</w:t>
      </w:r>
      <w:r w:rsidR="003F5037">
        <w:rPr>
          <w:rFonts w:ascii="Arial" w:hAnsi="Arial" w:cs="Arial"/>
          <w:b/>
          <w:sz w:val="24"/>
          <w:szCs w:val="24"/>
          <w:lang w:eastAsia="zh-CN"/>
        </w:rPr>
        <w:t xml:space="preserve"> </w:t>
      </w:r>
      <w:r>
        <w:rPr>
          <w:rFonts w:ascii="Arial" w:hAnsi="Arial" w:cs="Arial"/>
          <w:b/>
          <w:sz w:val="24"/>
          <w:szCs w:val="24"/>
          <w:lang w:eastAsia="zh-CN"/>
        </w:rPr>
        <w:t>27</w:t>
      </w:r>
      <w:r w:rsidRPr="00477A9B">
        <w:rPr>
          <w:rFonts w:ascii="Arial" w:hAnsi="Arial" w:cs="Arial"/>
          <w:b/>
          <w:sz w:val="24"/>
          <w:szCs w:val="24"/>
          <w:vertAlign w:val="superscript"/>
          <w:lang w:eastAsia="zh-CN"/>
        </w:rPr>
        <w:t>th</w:t>
      </w:r>
      <w:r>
        <w:rPr>
          <w:rFonts w:ascii="Arial" w:hAnsi="Arial" w:cs="Arial"/>
          <w:b/>
          <w:sz w:val="24"/>
          <w:szCs w:val="24"/>
          <w:lang w:eastAsia="zh-CN"/>
        </w:rPr>
        <w:t xml:space="preserve"> </w:t>
      </w:r>
      <w:r w:rsidR="003F5037" w:rsidRPr="00E13633">
        <w:rPr>
          <w:rFonts w:ascii="Arial" w:hAnsi="Arial" w:cs="Arial"/>
          <w:b/>
          <w:sz w:val="24"/>
          <w:szCs w:val="24"/>
          <w:lang w:eastAsia="zh-CN"/>
        </w:rPr>
        <w:t xml:space="preserve">– </w:t>
      </w:r>
      <w:r>
        <w:rPr>
          <w:rFonts w:ascii="Arial" w:hAnsi="Arial" w:cs="Arial"/>
          <w:b/>
          <w:sz w:val="24"/>
          <w:szCs w:val="24"/>
          <w:lang w:eastAsia="zh-CN"/>
        </w:rPr>
        <w:t>March 3</w:t>
      </w:r>
      <w:r w:rsidRPr="00477A9B">
        <w:rPr>
          <w:rFonts w:ascii="Arial" w:hAnsi="Arial" w:cs="Arial"/>
          <w:b/>
          <w:sz w:val="24"/>
          <w:szCs w:val="24"/>
          <w:vertAlign w:val="superscript"/>
          <w:lang w:eastAsia="zh-CN"/>
        </w:rPr>
        <w:t>rd</w:t>
      </w:r>
      <w:r w:rsidR="003F5037" w:rsidRPr="00E13633">
        <w:rPr>
          <w:rFonts w:ascii="Arial" w:hAnsi="Arial" w:cs="Arial"/>
          <w:b/>
          <w:sz w:val="24"/>
          <w:szCs w:val="24"/>
          <w:lang w:eastAsia="zh-CN"/>
        </w:rPr>
        <w:t>, 202</w:t>
      </w:r>
      <w:r>
        <w:rPr>
          <w:rFonts w:ascii="Arial" w:hAnsi="Arial" w:cs="Arial"/>
          <w:b/>
          <w:sz w:val="24"/>
          <w:szCs w:val="24"/>
          <w:lang w:eastAsia="zh-CN"/>
        </w:rPr>
        <w:t>3</w:t>
      </w:r>
    </w:p>
    <w:p w14:paraId="6B4DBF6F" w14:textId="77777777" w:rsidR="003F5037" w:rsidRPr="00261FB4" w:rsidRDefault="003F5037">
      <w:pPr>
        <w:spacing w:after="120"/>
        <w:ind w:left="1985" w:hanging="1985"/>
        <w:rPr>
          <w:rFonts w:ascii="Arial" w:eastAsia="MS Mincho" w:hAnsi="Arial" w:cs="Arial"/>
          <w:b/>
          <w:sz w:val="22"/>
        </w:rPr>
      </w:pPr>
    </w:p>
    <w:p w14:paraId="632F40C0" w14:textId="4AD432A3"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477A9B">
        <w:rPr>
          <w:rFonts w:ascii="Arial" w:eastAsia="MS Mincho" w:hAnsi="Arial" w:cs="Arial"/>
          <w:color w:val="000000"/>
          <w:sz w:val="22"/>
          <w:lang w:val="pt-BR" w:eastAsia="ja-JP"/>
        </w:rPr>
        <w:t>9</w:t>
      </w:r>
      <w:r w:rsidR="00216D97" w:rsidRPr="00DC17D1">
        <w:rPr>
          <w:rFonts w:ascii="Arial" w:eastAsia="MS Mincho" w:hAnsi="Arial" w:cs="Arial"/>
          <w:color w:val="000000"/>
          <w:sz w:val="22"/>
          <w:lang w:val="pt-BR" w:eastAsia="ja-JP"/>
        </w:rPr>
        <w:t>.</w:t>
      </w:r>
      <w:r w:rsidR="00C507A3">
        <w:rPr>
          <w:rFonts w:ascii="Arial" w:eastAsia="MS Mincho" w:hAnsi="Arial" w:cs="Arial"/>
          <w:color w:val="000000"/>
          <w:sz w:val="22"/>
          <w:lang w:val="pt-BR" w:eastAsia="ja-JP"/>
        </w:rPr>
        <w:t>32</w:t>
      </w:r>
      <w:r w:rsidR="00216D97" w:rsidRPr="00DC17D1">
        <w:rPr>
          <w:rFonts w:ascii="Arial" w:eastAsia="MS Mincho" w:hAnsi="Arial" w:cs="Arial"/>
          <w:color w:val="000000"/>
          <w:sz w:val="22"/>
          <w:lang w:val="pt-BR" w:eastAsia="ja-JP"/>
        </w:rPr>
        <w:t>.</w:t>
      </w:r>
      <w:r w:rsidR="00DC17D1" w:rsidRPr="00DC17D1">
        <w:rPr>
          <w:rFonts w:ascii="Arial" w:eastAsia="MS Mincho" w:hAnsi="Arial" w:cs="Arial"/>
          <w:color w:val="000000"/>
          <w:sz w:val="22"/>
          <w:lang w:val="pt-BR" w:eastAsia="ja-JP"/>
        </w:rPr>
        <w:t>2</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bookmarkStart w:id="0" w:name="_GoBack"/>
      <w:bookmarkEnd w:id="0"/>
    </w:p>
    <w:p w14:paraId="2DC760E5" w14:textId="1F06193B" w:rsidR="0038629F" w:rsidRPr="00261FB4"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291F6E">
        <w:rPr>
          <w:rFonts w:ascii="Arial" w:eastAsiaTheme="minorEastAsia" w:hAnsi="Arial" w:cs="Arial"/>
          <w:color w:val="000000"/>
          <w:sz w:val="22"/>
          <w:lang w:eastAsia="zh-CN"/>
        </w:rPr>
        <w:t xml:space="preserve">Discussion on </w:t>
      </w:r>
      <w:r w:rsidR="00C507A3">
        <w:rPr>
          <w:rFonts w:ascii="Arial" w:eastAsiaTheme="minorEastAsia" w:hAnsi="Arial" w:cs="Arial"/>
          <w:color w:val="000000"/>
          <w:sz w:val="22"/>
          <w:lang w:eastAsia="zh-CN"/>
        </w:rPr>
        <w:t>Mobile IAB</w:t>
      </w:r>
      <w:r w:rsidR="00291F6E">
        <w:rPr>
          <w:rFonts w:ascii="Arial" w:eastAsiaTheme="minorEastAsia" w:hAnsi="Arial" w:cs="Arial"/>
          <w:color w:val="000000"/>
          <w:sz w:val="22"/>
          <w:lang w:eastAsia="zh-CN"/>
        </w:rPr>
        <w:t xml:space="preserve"> co-ex </w:t>
      </w:r>
      <w:r w:rsidR="00F92513">
        <w:rPr>
          <w:rFonts w:ascii="Arial" w:eastAsiaTheme="minorEastAsia" w:hAnsi="Arial" w:cs="Arial" w:hint="eastAsia"/>
          <w:color w:val="000000"/>
          <w:sz w:val="22"/>
          <w:lang w:eastAsia="zh-CN"/>
        </w:rPr>
        <w:t>st</w:t>
      </w:r>
      <w:r w:rsidR="00F92513">
        <w:rPr>
          <w:rFonts w:ascii="Arial" w:eastAsiaTheme="minorEastAsia" w:hAnsi="Arial" w:cs="Arial"/>
          <w:color w:val="000000"/>
          <w:sz w:val="22"/>
          <w:lang w:eastAsia="zh-CN"/>
        </w:rPr>
        <w:t>udy</w:t>
      </w:r>
    </w:p>
    <w:p w14:paraId="54DCEEEE" w14:textId="77777777"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Pr="00261FB4">
        <w:rPr>
          <w:rFonts w:ascii="Arial" w:eastAsiaTheme="minorEastAsia" w:hAnsi="Arial" w:cs="Arial"/>
          <w:color w:val="000000"/>
          <w:sz w:val="22"/>
          <w:lang w:eastAsia="zh-CN"/>
        </w:rPr>
        <w:t>Approval</w:t>
      </w:r>
    </w:p>
    <w:p w14:paraId="3AC71413" w14:textId="77777777" w:rsidR="0038629F" w:rsidRPr="00261FB4" w:rsidRDefault="009E3E95" w:rsidP="00533201">
      <w:pPr>
        <w:pStyle w:val="1"/>
      </w:pPr>
      <w:r w:rsidRPr="00261FB4">
        <w:rPr>
          <w:lang w:val="en-GB"/>
        </w:rPr>
        <w:t>Introduction</w:t>
      </w:r>
    </w:p>
    <w:p w14:paraId="78603A87" w14:textId="0DD6D114" w:rsidR="00291F6E" w:rsidRDefault="00D56127" w:rsidP="00291F6E">
      <w:pPr>
        <w:spacing w:beforeLines="50" w:before="120" w:after="120"/>
      </w:pPr>
      <w:r>
        <w:t>In RAN#98 meeting, the revised WID of Mobile IAB (integrated access and backhaul) for NR was agreed in RP-223177</w:t>
      </w:r>
      <w:r w:rsidR="005F3D51">
        <w:t>.</w:t>
      </w:r>
      <w:r>
        <w:t xml:space="preserve"> The WID request RAN4 to conduct </w:t>
      </w:r>
      <w:r w:rsidRPr="00D56127">
        <w:t>o-existence study to assess the impact of moving cells. Based on the study outcome, specify RF and RRM requirements and mechanisms for the mobile IAB-node to enable co-existence, if needed.</w:t>
      </w:r>
    </w:p>
    <w:p w14:paraId="051FAEF5" w14:textId="459C0C56" w:rsidR="00D56127" w:rsidRPr="00261FB4" w:rsidRDefault="00D56127" w:rsidP="00291F6E">
      <w:pPr>
        <w:spacing w:beforeLines="50" w:before="120" w:after="120"/>
      </w:pPr>
      <w:r>
        <w:t>In this paper, we would like to discuss and exchange views on the different parts between this new Mobile IAB and the previous IAB studies summarized in TR 38.809. It is expected to build common understanding on the assumptions for Mobile IAB co-ex studies in RAN4 through discussion.</w:t>
      </w:r>
    </w:p>
    <w:p w14:paraId="3F30BFC0" w14:textId="3E6F82CF" w:rsidR="009E574F" w:rsidRDefault="009E3E95" w:rsidP="00533201">
      <w:pPr>
        <w:pStyle w:val="1"/>
        <w:rPr>
          <w:lang w:val="en-GB"/>
        </w:rPr>
      </w:pPr>
      <w:r w:rsidRPr="00261FB4">
        <w:rPr>
          <w:lang w:val="en-GB"/>
        </w:rPr>
        <w:t>Discussion</w:t>
      </w:r>
    </w:p>
    <w:p w14:paraId="4E9D40CE" w14:textId="4CECA416" w:rsidR="006D336F" w:rsidRPr="00874FD9" w:rsidRDefault="006D336F" w:rsidP="006D336F">
      <w:pPr>
        <w:pStyle w:val="2"/>
      </w:pPr>
      <w:r>
        <w:t>System layout</w:t>
      </w:r>
    </w:p>
    <w:p w14:paraId="3167BBDC" w14:textId="54E01A7E" w:rsidR="009217F5" w:rsidRDefault="006D336F" w:rsidP="009217F5">
      <w:pPr>
        <w:rPr>
          <w:lang w:eastAsia="zh-CN"/>
        </w:rPr>
      </w:pPr>
      <w:r>
        <w:rPr>
          <w:lang w:eastAsia="zh-CN"/>
        </w:rPr>
        <w:t xml:space="preserve">Based on the justification section in RP-223177, the main differences of the co-ex study would be the system layout that the mobile IAB would be </w:t>
      </w:r>
      <w:r w:rsidR="00EE39EE">
        <w:rPr>
          <w:lang w:eastAsia="zh-CN"/>
        </w:rPr>
        <w:t xml:space="preserve">continuously moving while </w:t>
      </w:r>
      <w:r>
        <w:rPr>
          <w:lang w:eastAsia="zh-CN"/>
        </w:rPr>
        <w:t>mounted on vehicles</w:t>
      </w:r>
      <w:r w:rsidR="00EE39EE">
        <w:rPr>
          <w:lang w:eastAsia="zh-CN"/>
        </w:rPr>
        <w:t>, and</w:t>
      </w:r>
      <w:r>
        <w:rPr>
          <w:lang w:eastAsia="zh-CN"/>
        </w:rPr>
        <w:t xml:space="preserve"> the mobile IAB-node to have no descendent IAB-nodes, i.e., it serves only UEs</w:t>
      </w:r>
      <w:r w:rsidR="009217F5">
        <w:rPr>
          <w:lang w:eastAsia="zh-CN"/>
        </w:rPr>
        <w:t>.</w:t>
      </w:r>
    </w:p>
    <w:tbl>
      <w:tblPr>
        <w:tblStyle w:val="afd"/>
        <w:tblW w:w="0" w:type="auto"/>
        <w:tblLook w:val="04A0" w:firstRow="1" w:lastRow="0" w:firstColumn="1" w:lastColumn="0" w:noHBand="0" w:noVBand="1"/>
      </w:tblPr>
      <w:tblGrid>
        <w:gridCol w:w="9631"/>
      </w:tblGrid>
      <w:tr w:rsidR="009217F5" w14:paraId="3914644D" w14:textId="77777777" w:rsidTr="009217F5">
        <w:tc>
          <w:tcPr>
            <w:tcW w:w="9631" w:type="dxa"/>
          </w:tcPr>
          <w:p w14:paraId="5E58AC6C" w14:textId="68C39C43" w:rsidR="009217F5" w:rsidRPr="006D336F" w:rsidRDefault="009217F5" w:rsidP="009217F5">
            <w:pPr>
              <w:pStyle w:val="maintext"/>
              <w:spacing w:line="240" w:lineRule="auto"/>
              <w:ind w:firstLineChars="0" w:firstLine="0"/>
              <w:rPr>
                <w:rFonts w:ascii="Times New Roman" w:eastAsia="宋体" w:hAnsi="Times New Roman" w:cs="Times New Roman"/>
                <w:i/>
                <w:sz w:val="20"/>
                <w:szCs w:val="20"/>
                <w:lang w:val="en-GB" w:eastAsia="zh-CN"/>
              </w:rPr>
            </w:pPr>
            <w:r w:rsidRPr="006D336F">
              <w:rPr>
                <w:rFonts w:ascii="Times New Roman" w:eastAsia="宋体" w:hAnsi="Times New Roman" w:cs="Times New Roman"/>
                <w:i/>
                <w:sz w:val="20"/>
                <w:szCs w:val="20"/>
                <w:lang w:val="en-GB" w:eastAsia="zh-CN"/>
              </w:rPr>
              <w:t xml:space="preserve">Quote from </w:t>
            </w:r>
            <w:r w:rsidRPr="006D336F">
              <w:rPr>
                <w:rFonts w:ascii="Times New Roman" w:eastAsia="宋体" w:hAnsi="Times New Roman" w:cs="Times New Roman" w:hint="eastAsia"/>
                <w:i/>
                <w:sz w:val="20"/>
                <w:szCs w:val="20"/>
                <w:lang w:val="en-GB" w:eastAsia="zh-CN"/>
              </w:rPr>
              <w:t>R</w:t>
            </w:r>
            <w:r w:rsidRPr="006D336F">
              <w:rPr>
                <w:rFonts w:ascii="Times New Roman" w:eastAsia="宋体" w:hAnsi="Times New Roman" w:cs="Times New Roman"/>
                <w:i/>
                <w:sz w:val="20"/>
                <w:szCs w:val="20"/>
                <w:lang w:val="en-GB" w:eastAsia="zh-CN"/>
              </w:rPr>
              <w:t>P-223177:</w:t>
            </w:r>
          </w:p>
          <w:p w14:paraId="0943AD5A" w14:textId="77777777" w:rsidR="006D336F" w:rsidRPr="002264C6" w:rsidRDefault="006D336F" w:rsidP="002264C6">
            <w:pPr>
              <w:pStyle w:val="3"/>
              <w:numPr>
                <w:ilvl w:val="0"/>
                <w:numId w:val="0"/>
              </w:numPr>
              <w:outlineLvl w:val="2"/>
            </w:pPr>
            <w:r w:rsidRPr="002264C6">
              <w:t>3</w:t>
            </w:r>
            <w:r w:rsidRPr="002264C6">
              <w:tab/>
              <w:t>Justification</w:t>
            </w:r>
          </w:p>
          <w:p w14:paraId="045DFED6" w14:textId="77777777" w:rsidR="006D336F" w:rsidRPr="006D336F" w:rsidRDefault="006D336F" w:rsidP="006D336F">
            <w:pPr>
              <w:pStyle w:val="maintext"/>
              <w:spacing w:line="240" w:lineRule="auto"/>
              <w:ind w:firstLineChars="0" w:firstLine="0"/>
              <w:rPr>
                <w:rFonts w:ascii="Times New Roman" w:eastAsia="宋体" w:hAnsi="Times New Roman" w:cs="Times New Roman"/>
                <w:sz w:val="20"/>
                <w:szCs w:val="20"/>
                <w:lang w:val="en-GB" w:eastAsia="zh-CN"/>
              </w:rPr>
            </w:pPr>
            <w:r w:rsidRPr="006D336F">
              <w:rPr>
                <w:rFonts w:ascii="Times New Roman" w:eastAsia="宋体" w:hAnsi="Times New Roman" w:cs="Times New Roman"/>
                <w:sz w:val="20"/>
                <w:szCs w:val="20"/>
                <w:lang w:val="en-GB" w:eastAsia="zh-CN"/>
              </w:rPr>
              <w:t>The support for Mobile Integrated Access and Backhaul (IAB) builds on the architecture and protocols derived in the Rel-17 WI NR_IAB_enh, which provided IAB improvements on various aspects such as robustness, load-balancing, spectral efficiency, and end-to-end performance.</w:t>
            </w:r>
          </w:p>
          <w:p w14:paraId="25060081" w14:textId="77777777" w:rsidR="006D336F" w:rsidRPr="006D336F" w:rsidRDefault="006D336F" w:rsidP="006D336F">
            <w:pPr>
              <w:pStyle w:val="maintext"/>
              <w:spacing w:line="240" w:lineRule="auto"/>
              <w:ind w:firstLineChars="0" w:firstLine="0"/>
              <w:rPr>
                <w:rFonts w:ascii="Times New Roman" w:eastAsia="宋体" w:hAnsi="Times New Roman" w:cs="Times New Roman"/>
                <w:sz w:val="20"/>
                <w:szCs w:val="20"/>
                <w:lang w:val="en-GB" w:eastAsia="zh-CN"/>
              </w:rPr>
            </w:pPr>
            <w:r w:rsidRPr="006D336F">
              <w:rPr>
                <w:rFonts w:ascii="Times New Roman" w:eastAsia="宋体" w:hAnsi="Times New Roman" w:cs="Times New Roman"/>
                <w:sz w:val="20"/>
                <w:szCs w:val="20"/>
                <w:lang w:val="en-GB" w:eastAsia="zh-CN"/>
              </w:rPr>
              <w:t xml:space="preserve">The work on Mobile IAB in Rel-18 should focus on the scenario of mobile-IAB-nodes mounted on vehicles providing 5G coverage/capacity enhancement to onboard and/or surrounding UEs. </w:t>
            </w:r>
          </w:p>
          <w:p w14:paraId="724E2782" w14:textId="77777777" w:rsidR="006D336F" w:rsidRPr="006D336F" w:rsidRDefault="006D336F" w:rsidP="006D336F">
            <w:pPr>
              <w:pStyle w:val="maintext"/>
              <w:spacing w:line="240" w:lineRule="auto"/>
              <w:ind w:firstLineChars="0" w:firstLine="0"/>
              <w:rPr>
                <w:rFonts w:ascii="Times New Roman" w:eastAsia="宋体" w:hAnsi="Times New Roman" w:cs="Times New Roman"/>
                <w:sz w:val="20"/>
                <w:szCs w:val="20"/>
                <w:lang w:val="en-GB" w:eastAsia="zh-CN"/>
              </w:rPr>
            </w:pPr>
          </w:p>
          <w:p w14:paraId="3B4E8D7A" w14:textId="77777777" w:rsidR="006D336F" w:rsidRPr="006D336F" w:rsidRDefault="006D336F" w:rsidP="006D336F">
            <w:pPr>
              <w:pStyle w:val="maintext"/>
              <w:spacing w:line="240" w:lineRule="auto"/>
              <w:ind w:firstLineChars="0" w:firstLine="0"/>
              <w:rPr>
                <w:rFonts w:ascii="Times New Roman" w:eastAsia="宋体" w:hAnsi="Times New Roman" w:cs="Times New Roman"/>
                <w:sz w:val="20"/>
                <w:szCs w:val="20"/>
                <w:lang w:val="en-GB" w:eastAsia="zh-CN"/>
              </w:rPr>
            </w:pPr>
            <w:r w:rsidRPr="006D336F">
              <w:rPr>
                <w:rFonts w:ascii="Times New Roman" w:eastAsia="宋体" w:hAnsi="Times New Roman" w:cs="Times New Roman"/>
                <w:sz w:val="20"/>
                <w:szCs w:val="20"/>
                <w:lang w:val="en-GB" w:eastAsia="zh-CN"/>
              </w:rPr>
              <w:t>In Rel-18, mobile IAB supports the following functionality, applicable to FR1 and FR2:</w:t>
            </w:r>
          </w:p>
          <w:p w14:paraId="4F9666D9" w14:textId="77777777" w:rsidR="006D336F" w:rsidRPr="006D336F" w:rsidRDefault="006D336F" w:rsidP="006D336F">
            <w:pPr>
              <w:pStyle w:val="maintext"/>
              <w:numPr>
                <w:ilvl w:val="0"/>
                <w:numId w:val="44"/>
              </w:numPr>
              <w:spacing w:line="240" w:lineRule="auto"/>
              <w:ind w:firstLineChars="0"/>
              <w:rPr>
                <w:rFonts w:ascii="Times New Roman" w:eastAsia="宋体" w:hAnsi="Times New Roman" w:cs="Times New Roman"/>
                <w:sz w:val="20"/>
                <w:szCs w:val="20"/>
                <w:lang w:val="en-GB" w:eastAsia="zh-CN"/>
              </w:rPr>
            </w:pPr>
            <w:r w:rsidRPr="006D336F">
              <w:rPr>
                <w:rFonts w:ascii="Times New Roman" w:eastAsia="宋体" w:hAnsi="Times New Roman" w:cs="Times New Roman"/>
                <w:sz w:val="20"/>
                <w:szCs w:val="20"/>
                <w:lang w:val="en-GB" w:eastAsia="zh-CN"/>
              </w:rPr>
              <w:t>In-band and out-of-band backhauling.</w:t>
            </w:r>
          </w:p>
          <w:p w14:paraId="57F47164" w14:textId="77777777" w:rsidR="006D336F" w:rsidRPr="006D336F" w:rsidRDefault="006D336F" w:rsidP="006D336F">
            <w:pPr>
              <w:pStyle w:val="maintext"/>
              <w:numPr>
                <w:ilvl w:val="0"/>
                <w:numId w:val="44"/>
              </w:numPr>
              <w:spacing w:line="240" w:lineRule="auto"/>
              <w:ind w:firstLineChars="0"/>
              <w:rPr>
                <w:rFonts w:ascii="Times New Roman" w:eastAsia="宋体" w:hAnsi="Times New Roman" w:cs="Times New Roman"/>
                <w:sz w:val="20"/>
                <w:szCs w:val="20"/>
                <w:lang w:val="en-GB" w:eastAsia="zh-CN"/>
              </w:rPr>
            </w:pPr>
            <w:r w:rsidRPr="006D336F">
              <w:rPr>
                <w:rFonts w:ascii="Times New Roman" w:eastAsia="宋体" w:hAnsi="Times New Roman" w:cs="Times New Roman"/>
                <w:sz w:val="20"/>
                <w:szCs w:val="20"/>
                <w:lang w:val="en-GB" w:eastAsia="zh-CN"/>
              </w:rPr>
              <w:t>The mobile IAB-node should have no descendent IAB-nodes, i.e., it serves only UEs.</w:t>
            </w:r>
          </w:p>
          <w:p w14:paraId="57AEEC02" w14:textId="77777777" w:rsidR="006D336F" w:rsidRPr="006D336F" w:rsidRDefault="006D336F" w:rsidP="006D336F">
            <w:pPr>
              <w:pStyle w:val="maintext"/>
              <w:numPr>
                <w:ilvl w:val="0"/>
                <w:numId w:val="44"/>
              </w:numPr>
              <w:spacing w:line="240" w:lineRule="auto"/>
              <w:ind w:firstLineChars="0"/>
              <w:rPr>
                <w:rFonts w:ascii="Times New Roman" w:eastAsia="宋体" w:hAnsi="Times New Roman" w:cs="Times New Roman"/>
                <w:sz w:val="20"/>
                <w:szCs w:val="20"/>
                <w:lang w:val="en-GB" w:eastAsia="zh-CN"/>
              </w:rPr>
            </w:pPr>
            <w:r w:rsidRPr="006D336F">
              <w:rPr>
                <w:rFonts w:ascii="Times New Roman" w:eastAsia="宋体" w:hAnsi="Times New Roman" w:cs="Times New Roman"/>
                <w:sz w:val="20"/>
                <w:szCs w:val="20"/>
                <w:lang w:val="en-GB" w:eastAsia="zh-CN"/>
              </w:rPr>
              <w:t>Solutions should support UE HO and DC.</w:t>
            </w:r>
          </w:p>
          <w:p w14:paraId="4B69E8CA" w14:textId="14D2B29F" w:rsidR="009217F5" w:rsidRPr="006D336F" w:rsidRDefault="006D336F" w:rsidP="009217F5">
            <w:pPr>
              <w:pStyle w:val="maintext"/>
              <w:numPr>
                <w:ilvl w:val="0"/>
                <w:numId w:val="44"/>
              </w:numPr>
              <w:spacing w:line="240" w:lineRule="auto"/>
              <w:ind w:firstLineChars="0"/>
              <w:rPr>
                <w:rFonts w:eastAsia="Times New Roman" w:cs="Times New Roman"/>
                <w:lang w:eastAsia="en-US"/>
              </w:rPr>
            </w:pPr>
            <w:r w:rsidRPr="006D336F">
              <w:rPr>
                <w:rFonts w:ascii="Times New Roman" w:eastAsia="宋体" w:hAnsi="Times New Roman" w:cs="Times New Roman"/>
                <w:sz w:val="20"/>
                <w:szCs w:val="20"/>
                <w:lang w:val="en-GB" w:eastAsia="zh-CN"/>
              </w:rPr>
              <w:t>The MT of a mobile IAB-node could support UAV features for UAM services.</w:t>
            </w:r>
          </w:p>
        </w:tc>
      </w:tr>
    </w:tbl>
    <w:p w14:paraId="31C5C55A" w14:textId="33B34D83" w:rsidR="009217F5" w:rsidRDefault="009217F5" w:rsidP="009217F5">
      <w:pPr>
        <w:rPr>
          <w:lang w:eastAsia="zh-CN"/>
        </w:rPr>
      </w:pPr>
    </w:p>
    <w:p w14:paraId="58F53C35" w14:textId="2921B98A" w:rsidR="00933169" w:rsidRDefault="00933169" w:rsidP="009217F5">
      <w:pPr>
        <w:rPr>
          <w:lang w:eastAsia="zh-CN"/>
        </w:rPr>
      </w:pPr>
      <w:r>
        <w:rPr>
          <w:lang w:eastAsia="zh-CN"/>
        </w:rPr>
        <w:t xml:space="preserve">The studies conducted in TR 38.809 considered a fixed network </w:t>
      </w:r>
      <w:r w:rsidR="00B12B68">
        <w:rPr>
          <w:lang w:eastAsia="zh-CN"/>
        </w:rPr>
        <w:t>layout as the IAB dono</w:t>
      </w:r>
      <w:r>
        <w:rPr>
          <w:lang w:eastAsia="zh-CN"/>
        </w:rPr>
        <w:t xml:space="preserve">r and IAB nodes are fixed despite of the layers of the IAB networks. But the mobile IAB would introduce a more dynamic system layouts, as the Mobile IAB nodes can move to anywhere. The coverage of different mobile IAB nodes could be overlapped, and the overall IAB network coverage may be in-balanced. Or, at least the network coverage provided by mobile IAB nodes would not be even as the previous fixed IAB nodes. </w:t>
      </w:r>
    </w:p>
    <w:p w14:paraId="0962AE3E" w14:textId="36BD7295" w:rsidR="00F0516C" w:rsidRDefault="00933169" w:rsidP="009217F5">
      <w:pPr>
        <w:rPr>
          <w:lang w:eastAsia="zh-CN"/>
        </w:rPr>
      </w:pPr>
      <w:r w:rsidRPr="00F0516C">
        <w:rPr>
          <w:b/>
          <w:lang w:eastAsia="zh-CN"/>
        </w:rPr>
        <w:t>Observation 1</w:t>
      </w:r>
      <w:r>
        <w:rPr>
          <w:lang w:eastAsia="zh-CN"/>
        </w:rPr>
        <w:t xml:space="preserve">: Given the moving nature of mobile IAB nodes, the mobile IAB nodes network coverage may be overlapped, and the overall coverage provided by mobile IAB nodes could be uneven. </w:t>
      </w:r>
    </w:p>
    <w:p w14:paraId="1CE19593" w14:textId="148C9B4A" w:rsidR="00CD37A9" w:rsidRDefault="00CD37A9" w:rsidP="009217F5">
      <w:pPr>
        <w:rPr>
          <w:lang w:eastAsia="zh-CN"/>
        </w:rPr>
      </w:pPr>
      <w:r w:rsidRPr="00CD37A9">
        <w:rPr>
          <w:rFonts w:hint="eastAsia"/>
          <w:b/>
          <w:lang w:eastAsia="zh-CN"/>
        </w:rPr>
        <w:t>Propo</w:t>
      </w:r>
      <w:r w:rsidRPr="00CD37A9">
        <w:rPr>
          <w:b/>
          <w:lang w:eastAsia="zh-CN"/>
        </w:rPr>
        <w:t>sal 1</w:t>
      </w:r>
      <w:r>
        <w:rPr>
          <w:lang w:eastAsia="zh-CN"/>
        </w:rPr>
        <w:t>: The network deployment layout of mobile IAB nodes could be overlapped and uneven</w:t>
      </w:r>
      <w:r w:rsidR="00D61885">
        <w:rPr>
          <w:lang w:eastAsia="zh-CN"/>
        </w:rPr>
        <w:t>. T</w:t>
      </w:r>
      <w:r>
        <w:rPr>
          <w:lang w:eastAsia="zh-CN"/>
        </w:rPr>
        <w:t xml:space="preserve">his </w:t>
      </w:r>
      <w:r w:rsidR="00D61885">
        <w:rPr>
          <w:lang w:eastAsia="zh-CN"/>
        </w:rPr>
        <w:t xml:space="preserve">would cause aggregated interference from </w:t>
      </w:r>
      <w:r w:rsidR="0048006C">
        <w:rPr>
          <w:lang w:eastAsia="zh-CN"/>
        </w:rPr>
        <w:t>overlapping</w:t>
      </w:r>
      <w:r w:rsidR="00D61885">
        <w:rPr>
          <w:lang w:eastAsia="zh-CN"/>
        </w:rPr>
        <w:t xml:space="preserve"> mobile IAB nodes</w:t>
      </w:r>
      <w:r w:rsidR="0048006C">
        <w:rPr>
          <w:lang w:eastAsia="zh-CN"/>
        </w:rPr>
        <w:t xml:space="preserve"> cells</w:t>
      </w:r>
      <w:r w:rsidR="00D61885">
        <w:rPr>
          <w:lang w:eastAsia="zh-CN"/>
        </w:rPr>
        <w:t xml:space="preserve"> to </w:t>
      </w:r>
      <w:r w:rsidR="0048006C">
        <w:rPr>
          <w:lang w:eastAsia="zh-CN"/>
        </w:rPr>
        <w:t xml:space="preserve">impacted </w:t>
      </w:r>
      <w:r w:rsidR="00D61885">
        <w:rPr>
          <w:lang w:eastAsia="zh-CN"/>
        </w:rPr>
        <w:t xml:space="preserve">legacy </w:t>
      </w:r>
      <w:r w:rsidR="0048006C">
        <w:rPr>
          <w:lang w:eastAsia="zh-CN"/>
        </w:rPr>
        <w:t xml:space="preserve">cell; and it would cause un-even </w:t>
      </w:r>
      <w:r w:rsidR="0048006C">
        <w:rPr>
          <w:lang w:eastAsia="zh-CN"/>
        </w:rPr>
        <w:lastRenderedPageBreak/>
        <w:t>interference impact to the cells in a legacy network. The evaluation metrics of the legacy cell should be discussed and determined based on this nature of mobile IAB nodes.</w:t>
      </w:r>
    </w:p>
    <w:p w14:paraId="712E1070" w14:textId="36B3CE95" w:rsidR="00224986" w:rsidRDefault="00224986" w:rsidP="009217F5">
      <w:pPr>
        <w:rPr>
          <w:lang w:eastAsia="zh-CN"/>
        </w:rPr>
      </w:pPr>
      <w:r w:rsidRPr="00224986">
        <w:rPr>
          <w:b/>
          <w:lang w:eastAsia="zh-CN"/>
        </w:rPr>
        <w:t>Proposal 2</w:t>
      </w:r>
      <w:r>
        <w:rPr>
          <w:lang w:eastAsia="zh-CN"/>
        </w:rPr>
        <w:t xml:space="preserve">: The geometry relationship between IAB network and legacy TDD network (e.g. grid shift) in co-ex study requires new definition, because the mobile IAB nodes are not fixed. </w:t>
      </w:r>
    </w:p>
    <w:p w14:paraId="0D57B64A" w14:textId="3659D1B7" w:rsidR="00933169" w:rsidRDefault="00F0516C" w:rsidP="009217F5">
      <w:pPr>
        <w:rPr>
          <w:lang w:eastAsia="zh-CN"/>
        </w:rPr>
      </w:pPr>
      <w:r w:rsidRPr="00F0516C">
        <w:rPr>
          <w:b/>
          <w:lang w:eastAsia="zh-CN"/>
        </w:rPr>
        <w:t>Observation 2</w:t>
      </w:r>
      <w:r w:rsidRPr="00F0516C">
        <w:rPr>
          <w:lang w:eastAsia="zh-CN"/>
        </w:rPr>
        <w:t>:</w:t>
      </w:r>
      <w:r>
        <w:rPr>
          <w:b/>
          <w:lang w:eastAsia="zh-CN"/>
        </w:rPr>
        <w:t xml:space="preserve"> </w:t>
      </w:r>
      <w:r w:rsidR="00CD37A9">
        <w:rPr>
          <w:lang w:eastAsia="zh-CN"/>
        </w:rPr>
        <w:t>T</w:t>
      </w:r>
      <w:r w:rsidR="00933169">
        <w:rPr>
          <w:lang w:eastAsia="zh-CN"/>
        </w:rPr>
        <w:t xml:space="preserve">he </w:t>
      </w:r>
      <w:r>
        <w:rPr>
          <w:lang w:eastAsia="zh-CN"/>
        </w:rPr>
        <w:t xml:space="preserve">moving mobile IAB nodes </w:t>
      </w:r>
      <w:r w:rsidR="00933169">
        <w:rPr>
          <w:lang w:eastAsia="zh-CN"/>
        </w:rPr>
        <w:t xml:space="preserve">network </w:t>
      </w:r>
      <w:r>
        <w:rPr>
          <w:lang w:eastAsia="zh-CN"/>
        </w:rPr>
        <w:t xml:space="preserve">would </w:t>
      </w:r>
      <w:r w:rsidR="00CD37A9">
        <w:rPr>
          <w:lang w:eastAsia="zh-CN"/>
        </w:rPr>
        <w:t>create un-serviced area</w:t>
      </w:r>
      <w:r>
        <w:rPr>
          <w:lang w:eastAsia="zh-CN"/>
        </w:rPr>
        <w:t xml:space="preserve">. </w:t>
      </w:r>
      <w:r w:rsidR="00CD37A9">
        <w:rPr>
          <w:lang w:eastAsia="zh-CN"/>
        </w:rPr>
        <w:t xml:space="preserve">If </w:t>
      </w:r>
      <w:r w:rsidR="00D61885">
        <w:rPr>
          <w:lang w:eastAsia="zh-CN"/>
        </w:rPr>
        <w:t>these unserved areas</w:t>
      </w:r>
      <w:r w:rsidR="00CD37A9">
        <w:rPr>
          <w:lang w:eastAsia="zh-CN"/>
        </w:rPr>
        <w:t xml:space="preserve"> would be covered by other fixed IAB nodes, then the multiple layers should be considered. W</w:t>
      </w:r>
      <w:r w:rsidR="00B12B68">
        <w:rPr>
          <w:lang w:eastAsia="zh-CN"/>
        </w:rPr>
        <w:t>hether these IAB dono</w:t>
      </w:r>
      <w:r>
        <w:rPr>
          <w:lang w:eastAsia="zh-CN"/>
        </w:rPr>
        <w:t>r nodes, possible fixed IAB nodes and mobile IAB nodes are operating in co-channel or adjacent-channel should be one of the key assumptions in co-ex studies.</w:t>
      </w:r>
    </w:p>
    <w:p w14:paraId="1E880E7E" w14:textId="1404089C" w:rsidR="00F0516C" w:rsidRDefault="00CD37A9" w:rsidP="009217F5">
      <w:pPr>
        <w:rPr>
          <w:lang w:eastAsia="zh-CN"/>
        </w:rPr>
      </w:pPr>
      <w:r>
        <w:rPr>
          <w:b/>
          <w:lang w:eastAsia="zh-CN"/>
        </w:rPr>
        <w:t>Proposal</w:t>
      </w:r>
      <w:r w:rsidR="00F0516C" w:rsidRPr="00F0516C">
        <w:rPr>
          <w:b/>
          <w:lang w:eastAsia="zh-CN"/>
        </w:rPr>
        <w:t xml:space="preserve"> </w:t>
      </w:r>
      <w:r w:rsidR="00224986">
        <w:rPr>
          <w:b/>
          <w:lang w:eastAsia="zh-CN"/>
        </w:rPr>
        <w:t>3</w:t>
      </w:r>
      <w:r w:rsidR="00F0516C">
        <w:rPr>
          <w:lang w:eastAsia="zh-CN"/>
        </w:rPr>
        <w:t xml:space="preserve">: </w:t>
      </w:r>
      <w:r w:rsidR="00D61885">
        <w:rPr>
          <w:lang w:eastAsia="zh-CN"/>
        </w:rPr>
        <w:t>The frequency re-use scheme between mobile IAB nodes and possible fixed IAB nodes should be discussed in co-ex study assumptions to determine the in-band and/or adjacent-band interference types of transmission link.</w:t>
      </w:r>
    </w:p>
    <w:p w14:paraId="5862E1BE" w14:textId="099CF685" w:rsidR="0048006C" w:rsidRDefault="0048006C" w:rsidP="0048006C">
      <w:pPr>
        <w:rPr>
          <w:lang w:eastAsia="zh-CN"/>
        </w:rPr>
      </w:pPr>
      <w:r w:rsidRPr="00CD37A9">
        <w:rPr>
          <w:rFonts w:hint="eastAsia"/>
          <w:b/>
          <w:lang w:eastAsia="zh-CN"/>
        </w:rPr>
        <w:t>Propo</w:t>
      </w:r>
      <w:r w:rsidRPr="00CD37A9">
        <w:rPr>
          <w:b/>
          <w:lang w:eastAsia="zh-CN"/>
        </w:rPr>
        <w:t xml:space="preserve">sal </w:t>
      </w:r>
      <w:r w:rsidR="00224986">
        <w:rPr>
          <w:b/>
          <w:lang w:eastAsia="zh-CN"/>
        </w:rPr>
        <w:t>4</w:t>
      </w:r>
      <w:r>
        <w:rPr>
          <w:lang w:eastAsia="zh-CN"/>
        </w:rPr>
        <w:t>: The overlapping mobile IAB nodes would cause their serving UEs</w:t>
      </w:r>
      <w:r w:rsidR="000E1200">
        <w:rPr>
          <w:lang w:eastAsia="zh-CN"/>
        </w:rPr>
        <w:t xml:space="preserve"> or the random dropping UEs in the network coverage area</w:t>
      </w:r>
      <w:r>
        <w:rPr>
          <w:lang w:eastAsia="zh-CN"/>
        </w:rPr>
        <w:t xml:space="preserve"> under</w:t>
      </w:r>
      <w:r w:rsidR="0077094F">
        <w:rPr>
          <w:lang w:eastAsia="zh-CN"/>
        </w:rPr>
        <w:t xml:space="preserve"> service from</w:t>
      </w:r>
      <w:r w:rsidR="000E1200">
        <w:rPr>
          <w:lang w:eastAsia="zh-CN"/>
        </w:rPr>
        <w:t xml:space="preserve"> multiple mobile IAB nodes and fixed IAB nodes if possible</w:t>
      </w:r>
      <w:r>
        <w:rPr>
          <w:lang w:eastAsia="zh-CN"/>
        </w:rPr>
        <w:t xml:space="preserve">. </w:t>
      </w:r>
      <w:r w:rsidR="000E1200">
        <w:rPr>
          <w:lang w:eastAsia="zh-CN"/>
        </w:rPr>
        <w:t xml:space="preserve">Thus whether these UEs would associate to its dedicated mobile IAB nodes, or whether they </w:t>
      </w:r>
      <w:r w:rsidR="0077094F">
        <w:rPr>
          <w:lang w:eastAsia="zh-CN"/>
        </w:rPr>
        <w:t>would hand</w:t>
      </w:r>
      <w:r w:rsidR="000E1200">
        <w:rPr>
          <w:lang w:eastAsia="zh-CN"/>
        </w:rPr>
        <w:t xml:space="preserve"> over </w:t>
      </w:r>
      <w:r w:rsidR="0077094F">
        <w:rPr>
          <w:lang w:eastAsia="zh-CN"/>
        </w:rPr>
        <w:t>with 3dB assumption as legacy UE, this</w:t>
      </w:r>
      <w:r w:rsidR="000E1200">
        <w:rPr>
          <w:lang w:eastAsia="zh-CN"/>
        </w:rPr>
        <w:t xml:space="preserve"> should be discussed and determined for the co-ex study assumption.</w:t>
      </w:r>
    </w:p>
    <w:p w14:paraId="19527475" w14:textId="35A10496" w:rsidR="006D336F" w:rsidRDefault="00DC3FBD" w:rsidP="009217F5">
      <w:pPr>
        <w:rPr>
          <w:lang w:eastAsia="zh-CN"/>
        </w:rPr>
      </w:pPr>
      <w:r w:rsidRPr="00DC3FBD">
        <w:rPr>
          <w:rFonts w:hint="eastAsia"/>
          <w:b/>
          <w:lang w:eastAsia="zh-CN"/>
        </w:rPr>
        <w:t>O</w:t>
      </w:r>
      <w:r w:rsidRPr="00DC3FBD">
        <w:rPr>
          <w:b/>
          <w:lang w:eastAsia="zh-CN"/>
        </w:rPr>
        <w:t>bservation 3</w:t>
      </w:r>
      <w:r w:rsidR="00B12B68">
        <w:rPr>
          <w:lang w:eastAsia="zh-CN"/>
        </w:rPr>
        <w:t>: The previous study assumed IAB nodes antenna transmission in UL time slots is with highest gain towards donor, as the IAB nodes are fixed and can be deployed in that way. However, the antenna pointing of mobile IAB nodes may not be able to always have its highest gain towards donor. The mounting of its antenna in horizontal and vertical domain should be discussed and determined.</w:t>
      </w:r>
    </w:p>
    <w:p w14:paraId="4A2B18D0" w14:textId="1A3935C5" w:rsidR="00DC3FBD" w:rsidRDefault="00DC3FBD" w:rsidP="009217F5">
      <w:pPr>
        <w:rPr>
          <w:lang w:eastAsia="zh-CN"/>
        </w:rPr>
      </w:pPr>
      <w:r w:rsidRPr="00DC3FBD">
        <w:rPr>
          <w:b/>
          <w:lang w:eastAsia="zh-CN"/>
        </w:rPr>
        <w:t xml:space="preserve">Proposal </w:t>
      </w:r>
      <w:r w:rsidR="00224986">
        <w:rPr>
          <w:b/>
          <w:lang w:eastAsia="zh-CN"/>
        </w:rPr>
        <w:t>5</w:t>
      </w:r>
      <w:r>
        <w:rPr>
          <w:lang w:eastAsia="zh-CN"/>
        </w:rPr>
        <w:t xml:space="preserve">: </w:t>
      </w:r>
      <w:r w:rsidR="002264C6">
        <w:rPr>
          <w:lang w:eastAsia="zh-CN"/>
        </w:rPr>
        <w:t>The horizontal and vertical tilting and scanning scheme of mobile IAB antennas for UL and DL should be discussed and determined for co-ex study assumption.</w:t>
      </w:r>
    </w:p>
    <w:p w14:paraId="1FD0745A" w14:textId="77777777" w:rsidR="00224986" w:rsidRDefault="00224986" w:rsidP="009217F5">
      <w:pPr>
        <w:rPr>
          <w:lang w:eastAsia="zh-CN"/>
        </w:rPr>
      </w:pPr>
    </w:p>
    <w:p w14:paraId="5A68B086" w14:textId="2E9FE5E0" w:rsidR="002264C6" w:rsidRPr="00874FD9" w:rsidRDefault="002264C6" w:rsidP="002264C6">
      <w:pPr>
        <w:pStyle w:val="2"/>
      </w:pPr>
      <w:r>
        <w:t>Scenarios</w:t>
      </w:r>
    </w:p>
    <w:p w14:paraId="6C88B773" w14:textId="4DE982D3" w:rsidR="009217F5" w:rsidRDefault="00BD624B" w:rsidP="009217F5">
      <w:pPr>
        <w:rPr>
          <w:lang w:eastAsia="zh-CN"/>
        </w:rPr>
      </w:pPr>
      <w:r>
        <w:rPr>
          <w:rFonts w:hint="eastAsia"/>
          <w:lang w:eastAsia="zh-CN"/>
        </w:rPr>
        <w:t>Accor</w:t>
      </w:r>
      <w:r>
        <w:rPr>
          <w:lang w:eastAsia="zh-CN"/>
        </w:rPr>
        <w:t>ding to TR 38.809, the half-duplex constraints of the IAB nodes of the network should be reused. The mobile IAB can be assumed as a synchronized network with legacy TDD network in co-ex study. Thus, the Table 6.1.2-1 can be reused.</w:t>
      </w:r>
    </w:p>
    <w:p w14:paraId="124CC0E1" w14:textId="7254C353" w:rsidR="00BD624B" w:rsidRDefault="00BD624B" w:rsidP="009217F5">
      <w:pPr>
        <w:rPr>
          <w:lang w:eastAsia="zh-CN"/>
        </w:rPr>
      </w:pPr>
      <w:r w:rsidRPr="00BD624B">
        <w:rPr>
          <w:b/>
          <w:lang w:eastAsia="zh-CN"/>
        </w:rPr>
        <w:t xml:space="preserve">Proposal </w:t>
      </w:r>
      <w:r w:rsidR="00224986">
        <w:rPr>
          <w:b/>
          <w:lang w:eastAsia="zh-CN"/>
        </w:rPr>
        <w:t>6</w:t>
      </w:r>
      <w:r>
        <w:rPr>
          <w:lang w:eastAsia="zh-CN"/>
        </w:rPr>
        <w:t xml:space="preserve">: Reuse the Table 6.1.2-1 of TR 38.809 for the TDD </w:t>
      </w:r>
      <w:r w:rsidR="00224986">
        <w:rPr>
          <w:lang w:eastAsia="zh-CN"/>
        </w:rPr>
        <w:t>mapping</w:t>
      </w:r>
      <w:r>
        <w:rPr>
          <w:lang w:eastAsia="zh-CN"/>
        </w:rPr>
        <w:t xml:space="preserve"> of mobile IAB</w:t>
      </w:r>
      <w:r w:rsidR="00224986">
        <w:rPr>
          <w:lang w:eastAsia="zh-CN"/>
        </w:rPr>
        <w:t xml:space="preserve"> node</w:t>
      </w:r>
      <w:r>
        <w:rPr>
          <w:lang w:eastAsia="zh-CN"/>
        </w:rPr>
        <w:t xml:space="preserve"> operation in co-ex study.</w:t>
      </w:r>
    </w:p>
    <w:p w14:paraId="1549611A" w14:textId="356D9CF8" w:rsidR="003B46A3" w:rsidRDefault="00BD624B" w:rsidP="009217F5">
      <w:pPr>
        <w:rPr>
          <w:lang w:eastAsia="zh-CN"/>
        </w:rPr>
      </w:pPr>
      <w:r>
        <w:rPr>
          <w:lang w:eastAsia="zh-CN"/>
        </w:rPr>
        <w:t xml:space="preserve">The number of mobile IAB nodes assumed in the co-ex study requires discussion, and as Observation 1 and 2 described, there may not be an averaged allocation of mobile IAB nodes as 1 per sector or 1 per IAB donor. </w:t>
      </w:r>
    </w:p>
    <w:p w14:paraId="492BB34E" w14:textId="1B0C5380" w:rsidR="00BD624B" w:rsidRDefault="00BD624B" w:rsidP="009217F5">
      <w:pPr>
        <w:rPr>
          <w:lang w:eastAsia="zh-CN"/>
        </w:rPr>
      </w:pPr>
      <w:r w:rsidRPr="00BD624B">
        <w:rPr>
          <w:b/>
          <w:lang w:eastAsia="zh-CN"/>
        </w:rPr>
        <w:t xml:space="preserve">Proposal </w:t>
      </w:r>
      <w:r w:rsidR="00224986">
        <w:rPr>
          <w:b/>
          <w:lang w:eastAsia="zh-CN"/>
        </w:rPr>
        <w:t>7</w:t>
      </w:r>
      <w:r>
        <w:rPr>
          <w:lang w:eastAsia="zh-CN"/>
        </w:rPr>
        <w:t>: The assumed number of mobile IAB nodes per network or per IAB donor needs to be defined for co-ex study. The mobile IAB nodes can moved to any IAB donor or its sub IAB nodes with its moving nature.</w:t>
      </w:r>
    </w:p>
    <w:p w14:paraId="42EC0ED2" w14:textId="77777777" w:rsidR="00224986" w:rsidRDefault="00224986" w:rsidP="009217F5">
      <w:pPr>
        <w:rPr>
          <w:lang w:eastAsia="zh-CN"/>
        </w:rPr>
      </w:pPr>
    </w:p>
    <w:p w14:paraId="5220CA5A" w14:textId="2C19BE26" w:rsidR="002264C6" w:rsidRDefault="003468A3" w:rsidP="002264C6">
      <w:pPr>
        <w:pStyle w:val="2"/>
      </w:pPr>
      <w:r>
        <w:t>Simulation assumptions</w:t>
      </w:r>
    </w:p>
    <w:p w14:paraId="5767535E" w14:textId="7F2F8ACB" w:rsidR="00224986" w:rsidRDefault="003468A3" w:rsidP="00224986">
      <w:pPr>
        <w:rPr>
          <w:lang w:val="sv-SE" w:eastAsia="zh-CN"/>
        </w:rPr>
      </w:pPr>
      <w:r>
        <w:rPr>
          <w:rFonts w:hint="eastAsia"/>
          <w:lang w:val="sv-SE" w:eastAsia="zh-CN"/>
        </w:rPr>
        <w:t>G</w:t>
      </w:r>
      <w:r>
        <w:rPr>
          <w:lang w:val="sv-SE" w:eastAsia="zh-CN"/>
        </w:rPr>
        <w:t>iven the WID does not describe any other changes from legacy IAB nodes to mobile IAB nodes</w:t>
      </w:r>
      <w:r>
        <w:rPr>
          <w:rFonts w:hint="eastAsia"/>
          <w:lang w:val="sv-SE" w:eastAsia="zh-CN"/>
        </w:rPr>
        <w:t>,</w:t>
      </w:r>
      <w:r>
        <w:rPr>
          <w:lang w:val="sv-SE" w:eastAsia="zh-CN"/>
        </w:rPr>
        <w:t xml:space="preserve"> most system parameters of mobile IAB nodes should reuse the ones from TR 38.809.</w:t>
      </w:r>
    </w:p>
    <w:p w14:paraId="5DEC8987" w14:textId="7306774A" w:rsidR="003468A3" w:rsidRPr="00224986" w:rsidRDefault="003468A3" w:rsidP="00224986">
      <w:pPr>
        <w:rPr>
          <w:lang w:val="sv-SE" w:eastAsia="zh-CN"/>
        </w:rPr>
      </w:pPr>
      <w:r w:rsidRPr="003468A3">
        <w:rPr>
          <w:b/>
          <w:lang w:val="sv-SE" w:eastAsia="zh-CN"/>
        </w:rPr>
        <w:t>Proposal 8</w:t>
      </w:r>
      <w:r>
        <w:rPr>
          <w:lang w:val="sv-SE" w:eastAsia="zh-CN"/>
        </w:rPr>
        <w:t>: The propagation model, antenna model, system parameters could directly refer to the previous agreed settings in TR 38.809 for mobile IAB co-ex study.</w:t>
      </w:r>
    </w:p>
    <w:p w14:paraId="5DBA60CF" w14:textId="77777777" w:rsidR="002264C6" w:rsidRDefault="002264C6" w:rsidP="009217F5">
      <w:pPr>
        <w:rPr>
          <w:lang w:eastAsia="zh-CN"/>
        </w:rPr>
      </w:pPr>
    </w:p>
    <w:p w14:paraId="2DE955B4" w14:textId="6C97D5CE" w:rsidR="003468A3" w:rsidRPr="00261FB4" w:rsidRDefault="003468A3" w:rsidP="003468A3">
      <w:pPr>
        <w:pStyle w:val="1"/>
      </w:pPr>
      <w:r>
        <w:rPr>
          <w:lang w:val="en-GB"/>
        </w:rPr>
        <w:t>Conclusion</w:t>
      </w:r>
    </w:p>
    <w:p w14:paraId="6F458938" w14:textId="694A3259" w:rsidR="002264C6" w:rsidRDefault="003468A3" w:rsidP="009217F5">
      <w:r>
        <w:t>The following observations and proposals were presented in this document.</w:t>
      </w:r>
    </w:p>
    <w:p w14:paraId="493261AA" w14:textId="77777777" w:rsidR="003468A3" w:rsidRDefault="003468A3" w:rsidP="003468A3">
      <w:pPr>
        <w:rPr>
          <w:lang w:eastAsia="zh-CN"/>
        </w:rPr>
      </w:pPr>
      <w:r w:rsidRPr="00F0516C">
        <w:rPr>
          <w:b/>
          <w:lang w:eastAsia="zh-CN"/>
        </w:rPr>
        <w:t>Observation 1</w:t>
      </w:r>
      <w:r>
        <w:rPr>
          <w:lang w:eastAsia="zh-CN"/>
        </w:rPr>
        <w:t xml:space="preserve">: Given the moving nature of mobile IAB nodes, the mobile IAB nodes network coverage may be overlapped, and the overall coverage provided by mobile IAB nodes could be uneven. </w:t>
      </w:r>
    </w:p>
    <w:p w14:paraId="2CD99EE9" w14:textId="77777777" w:rsidR="003468A3" w:rsidRPr="003468A3" w:rsidRDefault="003468A3" w:rsidP="003468A3">
      <w:pPr>
        <w:rPr>
          <w:b/>
          <w:lang w:eastAsia="zh-CN"/>
        </w:rPr>
      </w:pPr>
      <w:r w:rsidRPr="003468A3">
        <w:rPr>
          <w:rFonts w:hint="eastAsia"/>
          <w:b/>
          <w:lang w:eastAsia="zh-CN"/>
        </w:rPr>
        <w:lastRenderedPageBreak/>
        <w:t>Propo</w:t>
      </w:r>
      <w:r w:rsidRPr="003468A3">
        <w:rPr>
          <w:b/>
          <w:lang w:eastAsia="zh-CN"/>
        </w:rPr>
        <w:t>sal 1: The network deployment layout of mobile IAB nodes could be overlapped and uneven. This would cause aggregated interference from overlapping mobile IAB nodes cells to impacted legacy cell; and it would cause un-even interference impact to the cells in a legacy network. The evaluation metrics of the legacy cell should be discussed and determined based on this nature of mobile IAB nodes.</w:t>
      </w:r>
    </w:p>
    <w:p w14:paraId="33B2168E" w14:textId="77777777" w:rsidR="003468A3" w:rsidRPr="003468A3" w:rsidRDefault="003468A3" w:rsidP="003468A3">
      <w:pPr>
        <w:rPr>
          <w:b/>
          <w:lang w:eastAsia="zh-CN"/>
        </w:rPr>
      </w:pPr>
      <w:r w:rsidRPr="003468A3">
        <w:rPr>
          <w:b/>
          <w:lang w:eastAsia="zh-CN"/>
        </w:rPr>
        <w:t xml:space="preserve">Proposal 2: The geometry relationship between IAB network and legacy TDD network (e.g. grid shift) in co-ex study requires new definition, because the mobile IAB nodes are not fixed. </w:t>
      </w:r>
    </w:p>
    <w:p w14:paraId="52180B1E" w14:textId="77777777" w:rsidR="003468A3" w:rsidRDefault="003468A3" w:rsidP="003468A3">
      <w:pPr>
        <w:rPr>
          <w:lang w:eastAsia="zh-CN"/>
        </w:rPr>
      </w:pPr>
      <w:r w:rsidRPr="00F0516C">
        <w:rPr>
          <w:b/>
          <w:lang w:eastAsia="zh-CN"/>
        </w:rPr>
        <w:t>Observation 2</w:t>
      </w:r>
      <w:r w:rsidRPr="00F0516C">
        <w:rPr>
          <w:lang w:eastAsia="zh-CN"/>
        </w:rPr>
        <w:t>:</w:t>
      </w:r>
      <w:r>
        <w:rPr>
          <w:b/>
          <w:lang w:eastAsia="zh-CN"/>
        </w:rPr>
        <w:t xml:space="preserve"> </w:t>
      </w:r>
      <w:r>
        <w:rPr>
          <w:lang w:eastAsia="zh-CN"/>
        </w:rPr>
        <w:t>The moving mobile IAB nodes network would create un-serviced area. If these unserved areas would be covered by other fixed IAB nodes, then the multiple layers should be considered. Whether these IAB donor nodes, possible fixed IAB nodes and mobile IAB nodes are operating in co-channel or adjacent-channel should be one of the key assumptions in co-ex studies.</w:t>
      </w:r>
    </w:p>
    <w:p w14:paraId="7F6F6D50" w14:textId="77777777" w:rsidR="003468A3" w:rsidRPr="003468A3" w:rsidRDefault="003468A3" w:rsidP="003468A3">
      <w:pPr>
        <w:rPr>
          <w:b/>
          <w:lang w:eastAsia="zh-CN"/>
        </w:rPr>
      </w:pPr>
      <w:r w:rsidRPr="003468A3">
        <w:rPr>
          <w:b/>
          <w:lang w:eastAsia="zh-CN"/>
        </w:rPr>
        <w:t>Proposal 3: The frequency re-use scheme between mobile IAB nodes and possible fixed IAB nodes should be discussed in co-ex study assumptions to determine the in-band and/or adjacent-band interference types of transmission link.</w:t>
      </w:r>
    </w:p>
    <w:p w14:paraId="70C19A15" w14:textId="77777777" w:rsidR="003468A3" w:rsidRPr="003468A3" w:rsidRDefault="003468A3" w:rsidP="003468A3">
      <w:pPr>
        <w:rPr>
          <w:b/>
          <w:lang w:eastAsia="zh-CN"/>
        </w:rPr>
      </w:pPr>
      <w:r w:rsidRPr="003468A3">
        <w:rPr>
          <w:rFonts w:hint="eastAsia"/>
          <w:b/>
          <w:lang w:eastAsia="zh-CN"/>
        </w:rPr>
        <w:t>Propo</w:t>
      </w:r>
      <w:r w:rsidRPr="003468A3">
        <w:rPr>
          <w:b/>
          <w:lang w:eastAsia="zh-CN"/>
        </w:rPr>
        <w:t>sal 4: The overlapping mobile IAB nodes would cause their serving UEs or the random dropping UEs in the network coverage area under service from multiple mobile IAB nodes and fixed IAB nodes if possible. Thus whether these UEs would associate to its dedicated mobile IAB nodes, or whether they would hand over with 3dB assumption as legacy UE, this should be discussed and determined for the co-ex study assumption.</w:t>
      </w:r>
    </w:p>
    <w:p w14:paraId="4E4119EE" w14:textId="77777777" w:rsidR="003468A3" w:rsidRDefault="003468A3" w:rsidP="003468A3">
      <w:pPr>
        <w:rPr>
          <w:lang w:eastAsia="zh-CN"/>
        </w:rPr>
      </w:pPr>
      <w:r w:rsidRPr="00DC3FBD">
        <w:rPr>
          <w:rFonts w:hint="eastAsia"/>
          <w:b/>
          <w:lang w:eastAsia="zh-CN"/>
        </w:rPr>
        <w:t>O</w:t>
      </w:r>
      <w:r w:rsidRPr="00DC3FBD">
        <w:rPr>
          <w:b/>
          <w:lang w:eastAsia="zh-CN"/>
        </w:rPr>
        <w:t>bservation 3</w:t>
      </w:r>
      <w:r>
        <w:rPr>
          <w:lang w:eastAsia="zh-CN"/>
        </w:rPr>
        <w:t>: The previous study assumed IAB nodes antenna transmission in UL time slots is with highest gain towards donor, as the IAB nodes are fixed and can be deployed in that way. However, the antenna pointing of mobile IAB nodes may not be able to always have its highest gain towards donor. The mounting of its antenna in horizontal and vertical domain should be discussed and determined.</w:t>
      </w:r>
    </w:p>
    <w:p w14:paraId="328C9481" w14:textId="77777777" w:rsidR="003468A3" w:rsidRPr="003468A3" w:rsidRDefault="003468A3" w:rsidP="003468A3">
      <w:pPr>
        <w:rPr>
          <w:b/>
          <w:lang w:eastAsia="zh-CN"/>
        </w:rPr>
      </w:pPr>
      <w:r w:rsidRPr="003468A3">
        <w:rPr>
          <w:b/>
          <w:lang w:eastAsia="zh-CN"/>
        </w:rPr>
        <w:t>Proposal 5: The horizontal and vertical tilting and scanning scheme of mobile IAB antennas for UL and DL should be discussed and determined for co-ex study assumption.</w:t>
      </w:r>
    </w:p>
    <w:p w14:paraId="56B599F2" w14:textId="77777777" w:rsidR="003468A3" w:rsidRPr="003468A3" w:rsidRDefault="003468A3" w:rsidP="003468A3">
      <w:pPr>
        <w:rPr>
          <w:b/>
          <w:lang w:eastAsia="zh-CN"/>
        </w:rPr>
      </w:pPr>
      <w:r w:rsidRPr="003468A3">
        <w:rPr>
          <w:b/>
          <w:lang w:eastAsia="zh-CN"/>
        </w:rPr>
        <w:t>Proposal 6: Reuse the Table 6.1.2-1 of TR 38.809 for the TDD mapping of mobile IAB node operation in co-ex study.</w:t>
      </w:r>
    </w:p>
    <w:p w14:paraId="13ED86E2" w14:textId="77777777" w:rsidR="003468A3" w:rsidRPr="003468A3" w:rsidRDefault="003468A3" w:rsidP="003468A3">
      <w:pPr>
        <w:rPr>
          <w:b/>
          <w:lang w:eastAsia="zh-CN"/>
        </w:rPr>
      </w:pPr>
      <w:r w:rsidRPr="003468A3">
        <w:rPr>
          <w:b/>
          <w:lang w:eastAsia="zh-CN"/>
        </w:rPr>
        <w:t>Proposal 7: The assumed number of mobile IAB nodes per network or per IAB donor needs to be defined for co-ex study. The mobile IAB nodes can moved to any IAB donor or its sub IAB nodes with its moving nature.</w:t>
      </w:r>
    </w:p>
    <w:p w14:paraId="15E6C8DA" w14:textId="77777777" w:rsidR="003468A3" w:rsidRPr="003468A3" w:rsidRDefault="003468A3" w:rsidP="003468A3">
      <w:pPr>
        <w:rPr>
          <w:b/>
          <w:lang w:val="sv-SE" w:eastAsia="zh-CN"/>
        </w:rPr>
      </w:pPr>
      <w:r w:rsidRPr="003468A3">
        <w:rPr>
          <w:b/>
          <w:lang w:val="sv-SE" w:eastAsia="zh-CN"/>
        </w:rPr>
        <w:t>Proposal 8: The propagation model, antenna model, system parameters could directly refer to the previous agreed settings in TR 38.809 for mobile IAB co-ex study.</w:t>
      </w:r>
    </w:p>
    <w:p w14:paraId="4FEFE05D" w14:textId="77777777" w:rsidR="003468A3" w:rsidRPr="003468A3" w:rsidRDefault="003468A3" w:rsidP="009217F5">
      <w:pPr>
        <w:rPr>
          <w:lang w:val="sv-SE" w:eastAsia="zh-CN"/>
        </w:rPr>
      </w:pPr>
    </w:p>
    <w:p w14:paraId="705DE395" w14:textId="77777777" w:rsidR="0038629F" w:rsidRPr="00261FB4" w:rsidRDefault="009E3E95" w:rsidP="00533201">
      <w:pPr>
        <w:pStyle w:val="1"/>
      </w:pPr>
      <w:r w:rsidRPr="00261FB4">
        <w:rPr>
          <w:lang w:val="en-GB"/>
        </w:rPr>
        <w:t>Reference</w:t>
      </w:r>
    </w:p>
    <w:p w14:paraId="11B1F8E4" w14:textId="19A59843" w:rsidR="005E09D5" w:rsidRDefault="005E09D5">
      <w:r w:rsidRPr="00261FB4">
        <w:t>[</w:t>
      </w:r>
      <w:r w:rsidR="001147E1" w:rsidRPr="00261FB4">
        <w:t>1</w:t>
      </w:r>
      <w:r w:rsidRPr="00261FB4">
        <w:t>] R</w:t>
      </w:r>
      <w:r w:rsidR="002264C6">
        <w:t>P</w:t>
      </w:r>
      <w:r w:rsidRPr="00261FB4">
        <w:t>-22</w:t>
      </w:r>
      <w:r w:rsidR="002264C6">
        <w:t>3177</w:t>
      </w:r>
      <w:r w:rsidRPr="00261FB4">
        <w:t>, “</w:t>
      </w:r>
      <w:r w:rsidR="00DD6B63" w:rsidRPr="00DD6B63">
        <w:t>Revised WID on mobile IAB</w:t>
      </w:r>
      <w:r w:rsidRPr="00261FB4">
        <w:t xml:space="preserve">”, </w:t>
      </w:r>
      <w:r w:rsidR="00DD6B63">
        <w:t>LG Uplus, KT, SK Telecom, ETRI, AT&amp;T, China Unicom</w:t>
      </w:r>
      <w:r w:rsidRPr="00261FB4">
        <w:t>.</w:t>
      </w:r>
    </w:p>
    <w:p w14:paraId="434D2B83" w14:textId="2C21E3E5" w:rsidR="002264C6" w:rsidRPr="00261FB4" w:rsidRDefault="002264C6">
      <w:r>
        <w:t>[2] RP-223008, “Status Report NR_mobile_IAB – TSG RAN 98e”, Qualcomm</w:t>
      </w:r>
    </w:p>
    <w:p w14:paraId="082A699B" w14:textId="117573B8" w:rsidR="005E09D5" w:rsidRPr="00261FB4" w:rsidRDefault="005E09D5">
      <w:r w:rsidRPr="00261FB4">
        <w:t>[</w:t>
      </w:r>
      <w:r w:rsidR="002264C6">
        <w:t>3</w:t>
      </w:r>
      <w:r w:rsidRPr="00261FB4">
        <w:t xml:space="preserve">] </w:t>
      </w:r>
      <w:r w:rsidR="002264C6">
        <w:t>TR 38.809</w:t>
      </w:r>
    </w:p>
    <w:sectPr w:rsidR="005E09D5"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7F570" w14:textId="77777777" w:rsidR="00F67FE4" w:rsidRDefault="00F67FE4" w:rsidP="00D31467">
      <w:pPr>
        <w:spacing w:after="0"/>
      </w:pPr>
      <w:r>
        <w:separator/>
      </w:r>
    </w:p>
  </w:endnote>
  <w:endnote w:type="continuationSeparator" w:id="0">
    <w:p w14:paraId="70B4BAEB" w14:textId="77777777" w:rsidR="00F67FE4" w:rsidRDefault="00F67FE4"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BDACC" w14:textId="77777777" w:rsidR="00F67FE4" w:rsidRDefault="00F67FE4" w:rsidP="00D31467">
      <w:pPr>
        <w:spacing w:after="0"/>
      </w:pPr>
      <w:r>
        <w:separator/>
      </w:r>
    </w:p>
  </w:footnote>
  <w:footnote w:type="continuationSeparator" w:id="0">
    <w:p w14:paraId="21E9660F" w14:textId="77777777" w:rsidR="00F67FE4" w:rsidRDefault="00F67FE4"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C5913"/>
    <w:multiLevelType w:val="hybridMultilevel"/>
    <w:tmpl w:val="FF5C2980"/>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40DDD"/>
    <w:multiLevelType w:val="hybridMultilevel"/>
    <w:tmpl w:val="0536409A"/>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6"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C23561"/>
    <w:multiLevelType w:val="hybridMultilevel"/>
    <w:tmpl w:val="141E09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4306AA"/>
    <w:multiLevelType w:val="hybridMultilevel"/>
    <w:tmpl w:val="AD14772C"/>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E81223"/>
    <w:multiLevelType w:val="hybridMultilevel"/>
    <w:tmpl w:val="1862C40E"/>
    <w:lvl w:ilvl="0" w:tplc="93A24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DF399C"/>
    <w:multiLevelType w:val="hybridMultilevel"/>
    <w:tmpl w:val="04127F3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6815553"/>
    <w:multiLevelType w:val="hybridMultilevel"/>
    <w:tmpl w:val="5456D1E4"/>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9F597D"/>
    <w:multiLevelType w:val="hybridMultilevel"/>
    <w:tmpl w:val="96F852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16" w15:restartNumberingAfterBreak="0">
    <w:nsid w:val="2BD00551"/>
    <w:multiLevelType w:val="hybridMultilevel"/>
    <w:tmpl w:val="8FF8C252"/>
    <w:lvl w:ilvl="0" w:tplc="55EEFA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2272E2F"/>
    <w:multiLevelType w:val="hybridMultilevel"/>
    <w:tmpl w:val="52F4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0F69A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844E3"/>
    <w:multiLevelType w:val="hybridMultilevel"/>
    <w:tmpl w:val="E10E998C"/>
    <w:lvl w:ilvl="0" w:tplc="0B18E7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B76F21"/>
    <w:multiLevelType w:val="hybridMultilevel"/>
    <w:tmpl w:val="0A384A82"/>
    <w:lvl w:ilvl="0" w:tplc="FAD2FD18">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48676AF2"/>
    <w:multiLevelType w:val="hybridMultilevel"/>
    <w:tmpl w:val="FF68FFBC"/>
    <w:lvl w:ilvl="0" w:tplc="4A4A4B94">
      <w:start w:val="120"/>
      <w:numFmt w:val="bullet"/>
      <w:lvlText w:val=""/>
      <w:lvlJc w:val="left"/>
      <w:pPr>
        <w:ind w:left="1215" w:hanging="360"/>
      </w:pPr>
      <w:rPr>
        <w:rFonts w:ascii="Wingdings" w:eastAsia="宋体" w:hAnsi="Wingdings"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27"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8" w15:restartNumberingAfterBreak="0">
    <w:nsid w:val="4EDC206C"/>
    <w:multiLevelType w:val="hybridMultilevel"/>
    <w:tmpl w:val="34DAF3C0"/>
    <w:lvl w:ilvl="0" w:tplc="FAD2FD1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AD2FD18">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53E40EBD"/>
    <w:multiLevelType w:val="hybridMultilevel"/>
    <w:tmpl w:val="552E43A2"/>
    <w:lvl w:ilvl="0" w:tplc="3512695A">
      <w:start w:val="78"/>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A55B25"/>
    <w:multiLevelType w:val="hybridMultilevel"/>
    <w:tmpl w:val="A3D0C9FC"/>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BE773F3"/>
    <w:multiLevelType w:val="hybridMultilevel"/>
    <w:tmpl w:val="0C626F88"/>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40" w15:restartNumberingAfterBreak="0">
    <w:nsid w:val="75034E3D"/>
    <w:multiLevelType w:val="hybridMultilevel"/>
    <w:tmpl w:val="6CEAD8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4"/>
  </w:num>
  <w:num w:numId="2">
    <w:abstractNumId w:val="23"/>
  </w:num>
  <w:num w:numId="3">
    <w:abstractNumId w:val="41"/>
  </w:num>
  <w:num w:numId="4">
    <w:abstractNumId w:val="27"/>
  </w:num>
  <w:num w:numId="5">
    <w:abstractNumId w:val="39"/>
  </w:num>
  <w:num w:numId="6">
    <w:abstractNumId w:val="36"/>
  </w:num>
  <w:num w:numId="7">
    <w:abstractNumId w:val="17"/>
  </w:num>
  <w:num w:numId="8">
    <w:abstractNumId w:val="29"/>
  </w:num>
  <w:num w:numId="9">
    <w:abstractNumId w:val="19"/>
  </w:num>
  <w:num w:numId="10">
    <w:abstractNumId w:val="4"/>
  </w:num>
  <w:num w:numId="11">
    <w:abstractNumId w:val="18"/>
  </w:num>
  <w:num w:numId="12">
    <w:abstractNumId w:val="32"/>
  </w:num>
  <w:num w:numId="13">
    <w:abstractNumId w:val="34"/>
  </w:num>
  <w:num w:numId="14">
    <w:abstractNumId w:val="21"/>
  </w:num>
  <w:num w:numId="15">
    <w:abstractNumId w:val="15"/>
  </w:num>
  <w:num w:numId="16">
    <w:abstractNumId w:val="5"/>
  </w:num>
  <w:num w:numId="17">
    <w:abstractNumId w:val="31"/>
  </w:num>
  <w:num w:numId="18">
    <w:abstractNumId w:val="13"/>
  </w:num>
  <w:num w:numId="19">
    <w:abstractNumId w:val="34"/>
  </w:num>
  <w:num w:numId="20">
    <w:abstractNumId w:val="40"/>
  </w:num>
  <w:num w:numId="21">
    <w:abstractNumId w:val="6"/>
  </w:num>
  <w:num w:numId="22">
    <w:abstractNumId w:val="20"/>
  </w:num>
  <w:num w:numId="23">
    <w:abstractNumId w:val="8"/>
  </w:num>
  <w:num w:numId="24">
    <w:abstractNumId w:val="10"/>
  </w:num>
  <w:num w:numId="25">
    <w:abstractNumId w:val="33"/>
  </w:num>
  <w:num w:numId="26">
    <w:abstractNumId w:val="30"/>
  </w:num>
  <w:num w:numId="27">
    <w:abstractNumId w:val="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2"/>
  </w:num>
  <w:num w:numId="30">
    <w:abstractNumId w:val="28"/>
  </w:num>
  <w:num w:numId="31">
    <w:abstractNumId w:val="11"/>
  </w:num>
  <w:num w:numId="32">
    <w:abstractNumId w:val="25"/>
  </w:num>
  <w:num w:numId="33">
    <w:abstractNumId w:val="24"/>
  </w:num>
  <w:num w:numId="34">
    <w:abstractNumId w:val="9"/>
  </w:num>
  <w:num w:numId="35">
    <w:abstractNumId w:val="14"/>
  </w:num>
  <w:num w:numId="36">
    <w:abstractNumId w:val="7"/>
  </w:num>
  <w:num w:numId="37">
    <w:abstractNumId w:val="16"/>
  </w:num>
  <w:num w:numId="38">
    <w:abstractNumId w:val="26"/>
  </w:num>
  <w:num w:numId="39">
    <w:abstractNumId w:val="22"/>
  </w:num>
  <w:num w:numId="40">
    <w:abstractNumId w:val="12"/>
  </w:num>
  <w:num w:numId="41">
    <w:abstractNumId w:val="3"/>
  </w:num>
  <w:num w:numId="42">
    <w:abstractNumId w:val="35"/>
  </w:num>
  <w:num w:numId="43">
    <w:abstractNumId w:val="37"/>
  </w:num>
  <w:num w:numId="44">
    <w:abstractNumId w:val="38"/>
  </w:num>
  <w:num w:numId="4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316C6"/>
    <w:rsid w:val="0003171D"/>
    <w:rsid w:val="00031C1D"/>
    <w:rsid w:val="0003274D"/>
    <w:rsid w:val="0003321A"/>
    <w:rsid w:val="00034074"/>
    <w:rsid w:val="00035C50"/>
    <w:rsid w:val="0003648D"/>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5070"/>
    <w:rsid w:val="00065506"/>
    <w:rsid w:val="00065BB4"/>
    <w:rsid w:val="00070F91"/>
    <w:rsid w:val="0007382E"/>
    <w:rsid w:val="00073EC0"/>
    <w:rsid w:val="00075218"/>
    <w:rsid w:val="000766E1"/>
    <w:rsid w:val="00077FF6"/>
    <w:rsid w:val="000800C2"/>
    <w:rsid w:val="00080D82"/>
    <w:rsid w:val="000815DD"/>
    <w:rsid w:val="00081692"/>
    <w:rsid w:val="00082C46"/>
    <w:rsid w:val="00085A0E"/>
    <w:rsid w:val="00087548"/>
    <w:rsid w:val="00091C0F"/>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33D6"/>
    <w:rsid w:val="000D44FB"/>
    <w:rsid w:val="000D5143"/>
    <w:rsid w:val="000D574B"/>
    <w:rsid w:val="000D6CFC"/>
    <w:rsid w:val="000D6F5C"/>
    <w:rsid w:val="000D7204"/>
    <w:rsid w:val="000E1200"/>
    <w:rsid w:val="000E1DFF"/>
    <w:rsid w:val="000E3096"/>
    <w:rsid w:val="000E4825"/>
    <w:rsid w:val="000E537B"/>
    <w:rsid w:val="000E57D0"/>
    <w:rsid w:val="000E5FBB"/>
    <w:rsid w:val="000E6EE8"/>
    <w:rsid w:val="000E7858"/>
    <w:rsid w:val="000F09CD"/>
    <w:rsid w:val="000F39CA"/>
    <w:rsid w:val="00107927"/>
    <w:rsid w:val="00110E26"/>
    <w:rsid w:val="00111321"/>
    <w:rsid w:val="00113C62"/>
    <w:rsid w:val="00114077"/>
    <w:rsid w:val="001147E1"/>
    <w:rsid w:val="00117BD6"/>
    <w:rsid w:val="001206C2"/>
    <w:rsid w:val="00121978"/>
    <w:rsid w:val="00123422"/>
    <w:rsid w:val="00124B6A"/>
    <w:rsid w:val="00126374"/>
    <w:rsid w:val="0013614A"/>
    <w:rsid w:val="00136D4C"/>
    <w:rsid w:val="0014103F"/>
    <w:rsid w:val="00141600"/>
    <w:rsid w:val="00142538"/>
    <w:rsid w:val="00142BB9"/>
    <w:rsid w:val="001434D9"/>
    <w:rsid w:val="00144F96"/>
    <w:rsid w:val="00147B90"/>
    <w:rsid w:val="00151EAC"/>
    <w:rsid w:val="00153528"/>
    <w:rsid w:val="0015392A"/>
    <w:rsid w:val="00154168"/>
    <w:rsid w:val="00154E68"/>
    <w:rsid w:val="00161B73"/>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7D94"/>
    <w:rsid w:val="001E0A28"/>
    <w:rsid w:val="001E1ABA"/>
    <w:rsid w:val="001E4218"/>
    <w:rsid w:val="001E4B8D"/>
    <w:rsid w:val="001F0B20"/>
    <w:rsid w:val="001F1E47"/>
    <w:rsid w:val="001F210D"/>
    <w:rsid w:val="001F462A"/>
    <w:rsid w:val="001F65D9"/>
    <w:rsid w:val="001F7DEA"/>
    <w:rsid w:val="00200A62"/>
    <w:rsid w:val="00203740"/>
    <w:rsid w:val="00204E62"/>
    <w:rsid w:val="002107F9"/>
    <w:rsid w:val="002111D6"/>
    <w:rsid w:val="002131E2"/>
    <w:rsid w:val="002138EA"/>
    <w:rsid w:val="00213F84"/>
    <w:rsid w:val="00214FBD"/>
    <w:rsid w:val="002167E2"/>
    <w:rsid w:val="00216D97"/>
    <w:rsid w:val="00222897"/>
    <w:rsid w:val="00222B0C"/>
    <w:rsid w:val="002230BC"/>
    <w:rsid w:val="002244B5"/>
    <w:rsid w:val="00224986"/>
    <w:rsid w:val="00224B51"/>
    <w:rsid w:val="002264C6"/>
    <w:rsid w:val="00227A34"/>
    <w:rsid w:val="00235394"/>
    <w:rsid w:val="00235577"/>
    <w:rsid w:val="002371B2"/>
    <w:rsid w:val="00241FE5"/>
    <w:rsid w:val="002435CA"/>
    <w:rsid w:val="0024469F"/>
    <w:rsid w:val="0025043F"/>
    <w:rsid w:val="00250B5B"/>
    <w:rsid w:val="00252DB8"/>
    <w:rsid w:val="002537BC"/>
    <w:rsid w:val="002557B3"/>
    <w:rsid w:val="00255C58"/>
    <w:rsid w:val="0025611F"/>
    <w:rsid w:val="00260EC7"/>
    <w:rsid w:val="00261539"/>
    <w:rsid w:val="0026179F"/>
    <w:rsid w:val="00261FB4"/>
    <w:rsid w:val="00265333"/>
    <w:rsid w:val="002666AE"/>
    <w:rsid w:val="0027232F"/>
    <w:rsid w:val="00274685"/>
    <w:rsid w:val="00274E1A"/>
    <w:rsid w:val="00275DBE"/>
    <w:rsid w:val="00276D60"/>
    <w:rsid w:val="002775B1"/>
    <w:rsid w:val="002775B9"/>
    <w:rsid w:val="00280E76"/>
    <w:rsid w:val="002811C4"/>
    <w:rsid w:val="00282213"/>
    <w:rsid w:val="00284016"/>
    <w:rsid w:val="002858BF"/>
    <w:rsid w:val="00287EB3"/>
    <w:rsid w:val="00290A92"/>
    <w:rsid w:val="00291F6E"/>
    <w:rsid w:val="002939AF"/>
    <w:rsid w:val="00294491"/>
    <w:rsid w:val="00294BB7"/>
    <w:rsid w:val="00294BDE"/>
    <w:rsid w:val="00295405"/>
    <w:rsid w:val="002A0CED"/>
    <w:rsid w:val="002A4CD0"/>
    <w:rsid w:val="002A53ED"/>
    <w:rsid w:val="002A74BF"/>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E51"/>
    <w:rsid w:val="00311197"/>
    <w:rsid w:val="00311363"/>
    <w:rsid w:val="00312876"/>
    <w:rsid w:val="00313150"/>
    <w:rsid w:val="00315867"/>
    <w:rsid w:val="003160A8"/>
    <w:rsid w:val="00321150"/>
    <w:rsid w:val="003251B4"/>
    <w:rsid w:val="003260D7"/>
    <w:rsid w:val="00331256"/>
    <w:rsid w:val="00335C1B"/>
    <w:rsid w:val="00336697"/>
    <w:rsid w:val="003418CB"/>
    <w:rsid w:val="0034438D"/>
    <w:rsid w:val="003449B4"/>
    <w:rsid w:val="00344B62"/>
    <w:rsid w:val="003468A3"/>
    <w:rsid w:val="00355873"/>
    <w:rsid w:val="0035660F"/>
    <w:rsid w:val="00361245"/>
    <w:rsid w:val="003628B9"/>
    <w:rsid w:val="00362D8F"/>
    <w:rsid w:val="00364A41"/>
    <w:rsid w:val="00365319"/>
    <w:rsid w:val="00367724"/>
    <w:rsid w:val="003710BA"/>
    <w:rsid w:val="00375EC0"/>
    <w:rsid w:val="003770F6"/>
    <w:rsid w:val="003821F5"/>
    <w:rsid w:val="00383E37"/>
    <w:rsid w:val="00385CF2"/>
    <w:rsid w:val="0038629F"/>
    <w:rsid w:val="003914BE"/>
    <w:rsid w:val="00392BDA"/>
    <w:rsid w:val="00393042"/>
    <w:rsid w:val="00394AD5"/>
    <w:rsid w:val="0039642D"/>
    <w:rsid w:val="0039684A"/>
    <w:rsid w:val="003978E7"/>
    <w:rsid w:val="003A23AC"/>
    <w:rsid w:val="003A2E40"/>
    <w:rsid w:val="003B0158"/>
    <w:rsid w:val="003B1D98"/>
    <w:rsid w:val="003B40B6"/>
    <w:rsid w:val="003B46A3"/>
    <w:rsid w:val="003B56DB"/>
    <w:rsid w:val="003B7146"/>
    <w:rsid w:val="003B755E"/>
    <w:rsid w:val="003C1712"/>
    <w:rsid w:val="003C1AA1"/>
    <w:rsid w:val="003C228E"/>
    <w:rsid w:val="003C3665"/>
    <w:rsid w:val="003C51E7"/>
    <w:rsid w:val="003C6893"/>
    <w:rsid w:val="003C6DE2"/>
    <w:rsid w:val="003D01B9"/>
    <w:rsid w:val="003D1EFD"/>
    <w:rsid w:val="003D28BF"/>
    <w:rsid w:val="003D4215"/>
    <w:rsid w:val="003D4A06"/>
    <w:rsid w:val="003D4C47"/>
    <w:rsid w:val="003D644B"/>
    <w:rsid w:val="003D65D5"/>
    <w:rsid w:val="003D7719"/>
    <w:rsid w:val="003E40EE"/>
    <w:rsid w:val="003F066A"/>
    <w:rsid w:val="003F1C1B"/>
    <w:rsid w:val="003F3A2F"/>
    <w:rsid w:val="003F503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2337"/>
    <w:rsid w:val="00446408"/>
    <w:rsid w:val="00446B49"/>
    <w:rsid w:val="00450F27"/>
    <w:rsid w:val="004510E5"/>
    <w:rsid w:val="00456A75"/>
    <w:rsid w:val="00461E39"/>
    <w:rsid w:val="00462D3A"/>
    <w:rsid w:val="00463521"/>
    <w:rsid w:val="00471125"/>
    <w:rsid w:val="0047437A"/>
    <w:rsid w:val="004766AD"/>
    <w:rsid w:val="00477A9B"/>
    <w:rsid w:val="0048006C"/>
    <w:rsid w:val="00480E42"/>
    <w:rsid w:val="00484C5D"/>
    <w:rsid w:val="0048543E"/>
    <w:rsid w:val="004868C1"/>
    <w:rsid w:val="0048750F"/>
    <w:rsid w:val="004905C8"/>
    <w:rsid w:val="00490D7A"/>
    <w:rsid w:val="004A382D"/>
    <w:rsid w:val="004A495F"/>
    <w:rsid w:val="004A638A"/>
    <w:rsid w:val="004A6F08"/>
    <w:rsid w:val="004A7544"/>
    <w:rsid w:val="004B6B0F"/>
    <w:rsid w:val="004C0434"/>
    <w:rsid w:val="004C16F1"/>
    <w:rsid w:val="004C232E"/>
    <w:rsid w:val="004C49FF"/>
    <w:rsid w:val="004C54E5"/>
    <w:rsid w:val="004C5D23"/>
    <w:rsid w:val="004C7806"/>
    <w:rsid w:val="004C7DC8"/>
    <w:rsid w:val="004D1464"/>
    <w:rsid w:val="004D21B0"/>
    <w:rsid w:val="004D3121"/>
    <w:rsid w:val="004D737D"/>
    <w:rsid w:val="004E053D"/>
    <w:rsid w:val="004E2659"/>
    <w:rsid w:val="004E39EE"/>
    <w:rsid w:val="004E453C"/>
    <w:rsid w:val="004E475C"/>
    <w:rsid w:val="004E56E0"/>
    <w:rsid w:val="004E7329"/>
    <w:rsid w:val="004F07BF"/>
    <w:rsid w:val="004F0F05"/>
    <w:rsid w:val="004F18A2"/>
    <w:rsid w:val="004F2CB0"/>
    <w:rsid w:val="004F5189"/>
    <w:rsid w:val="005017F7"/>
    <w:rsid w:val="00501FA7"/>
    <w:rsid w:val="005034D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41573"/>
    <w:rsid w:val="00541B6C"/>
    <w:rsid w:val="0054348A"/>
    <w:rsid w:val="00546BD6"/>
    <w:rsid w:val="005539EF"/>
    <w:rsid w:val="005616A6"/>
    <w:rsid w:val="00566D6F"/>
    <w:rsid w:val="00571777"/>
    <w:rsid w:val="00576A8F"/>
    <w:rsid w:val="00580FF5"/>
    <w:rsid w:val="00581190"/>
    <w:rsid w:val="00582A0E"/>
    <w:rsid w:val="00582A1D"/>
    <w:rsid w:val="0058519C"/>
    <w:rsid w:val="00590372"/>
    <w:rsid w:val="0059149A"/>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C3A"/>
    <w:rsid w:val="005C65AF"/>
    <w:rsid w:val="005D0B99"/>
    <w:rsid w:val="005D308E"/>
    <w:rsid w:val="005D3A48"/>
    <w:rsid w:val="005D7AF8"/>
    <w:rsid w:val="005E09D5"/>
    <w:rsid w:val="005E17BF"/>
    <w:rsid w:val="005E1BC3"/>
    <w:rsid w:val="005E366A"/>
    <w:rsid w:val="005E3A5C"/>
    <w:rsid w:val="005F0207"/>
    <w:rsid w:val="005F2145"/>
    <w:rsid w:val="005F3D51"/>
    <w:rsid w:val="005F49D7"/>
    <w:rsid w:val="006016E1"/>
    <w:rsid w:val="00602525"/>
    <w:rsid w:val="00602D27"/>
    <w:rsid w:val="00603530"/>
    <w:rsid w:val="006144A1"/>
    <w:rsid w:val="006144B8"/>
    <w:rsid w:val="00615EBB"/>
    <w:rsid w:val="00616096"/>
    <w:rsid w:val="006160A2"/>
    <w:rsid w:val="00617662"/>
    <w:rsid w:val="00623E92"/>
    <w:rsid w:val="006302AA"/>
    <w:rsid w:val="00630C8C"/>
    <w:rsid w:val="006363BD"/>
    <w:rsid w:val="00636446"/>
    <w:rsid w:val="006369AE"/>
    <w:rsid w:val="006412DC"/>
    <w:rsid w:val="00642BC6"/>
    <w:rsid w:val="00643CA2"/>
    <w:rsid w:val="00644790"/>
    <w:rsid w:val="00647CE2"/>
    <w:rsid w:val="006501AF"/>
    <w:rsid w:val="00650DDE"/>
    <w:rsid w:val="00651616"/>
    <w:rsid w:val="006517F6"/>
    <w:rsid w:val="0065505B"/>
    <w:rsid w:val="00655388"/>
    <w:rsid w:val="00656D5B"/>
    <w:rsid w:val="00657037"/>
    <w:rsid w:val="00662DCF"/>
    <w:rsid w:val="00663AA0"/>
    <w:rsid w:val="00665932"/>
    <w:rsid w:val="0066701C"/>
    <w:rsid w:val="006670AC"/>
    <w:rsid w:val="00672307"/>
    <w:rsid w:val="006800B5"/>
    <w:rsid w:val="006808C6"/>
    <w:rsid w:val="00682668"/>
    <w:rsid w:val="0068680E"/>
    <w:rsid w:val="006921CF"/>
    <w:rsid w:val="00692735"/>
    <w:rsid w:val="00692A68"/>
    <w:rsid w:val="00693800"/>
    <w:rsid w:val="00695D85"/>
    <w:rsid w:val="006A30A2"/>
    <w:rsid w:val="006A6D23"/>
    <w:rsid w:val="006B1405"/>
    <w:rsid w:val="006B25DE"/>
    <w:rsid w:val="006B6BC9"/>
    <w:rsid w:val="006B7379"/>
    <w:rsid w:val="006C1C3B"/>
    <w:rsid w:val="006C4E43"/>
    <w:rsid w:val="006C643E"/>
    <w:rsid w:val="006D2932"/>
    <w:rsid w:val="006D336F"/>
    <w:rsid w:val="006D3671"/>
    <w:rsid w:val="006D4176"/>
    <w:rsid w:val="006D5469"/>
    <w:rsid w:val="006D5E48"/>
    <w:rsid w:val="006D6B1E"/>
    <w:rsid w:val="006D6E5D"/>
    <w:rsid w:val="006E0A73"/>
    <w:rsid w:val="006E0D84"/>
    <w:rsid w:val="006E0FEE"/>
    <w:rsid w:val="006E4C8B"/>
    <w:rsid w:val="006E6C11"/>
    <w:rsid w:val="006F2BB1"/>
    <w:rsid w:val="006F2FF5"/>
    <w:rsid w:val="006F4A6B"/>
    <w:rsid w:val="006F7C0C"/>
    <w:rsid w:val="00700755"/>
    <w:rsid w:val="00700F25"/>
    <w:rsid w:val="0070646B"/>
    <w:rsid w:val="0071036F"/>
    <w:rsid w:val="007130A2"/>
    <w:rsid w:val="00715463"/>
    <w:rsid w:val="00720BC8"/>
    <w:rsid w:val="00730655"/>
    <w:rsid w:val="0073180F"/>
    <w:rsid w:val="00731D77"/>
    <w:rsid w:val="00732360"/>
    <w:rsid w:val="007335C5"/>
    <w:rsid w:val="0073390A"/>
    <w:rsid w:val="00734E64"/>
    <w:rsid w:val="00735A4B"/>
    <w:rsid w:val="00736B37"/>
    <w:rsid w:val="00740A35"/>
    <w:rsid w:val="007445CB"/>
    <w:rsid w:val="007448AA"/>
    <w:rsid w:val="00744933"/>
    <w:rsid w:val="007520B4"/>
    <w:rsid w:val="00756013"/>
    <w:rsid w:val="0076448A"/>
    <w:rsid w:val="007655D5"/>
    <w:rsid w:val="0077094F"/>
    <w:rsid w:val="007763C1"/>
    <w:rsid w:val="00777DBC"/>
    <w:rsid w:val="00777E82"/>
    <w:rsid w:val="00781359"/>
    <w:rsid w:val="00786921"/>
    <w:rsid w:val="00792FF7"/>
    <w:rsid w:val="007A0AC0"/>
    <w:rsid w:val="007A1173"/>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9A7"/>
    <w:rsid w:val="007F2DC8"/>
    <w:rsid w:val="007F660F"/>
    <w:rsid w:val="008004B4"/>
    <w:rsid w:val="00801C98"/>
    <w:rsid w:val="00804FDE"/>
    <w:rsid w:val="00805BE8"/>
    <w:rsid w:val="00814915"/>
    <w:rsid w:val="00814E9C"/>
    <w:rsid w:val="00816078"/>
    <w:rsid w:val="008177E3"/>
    <w:rsid w:val="008235AE"/>
    <w:rsid w:val="00823AA9"/>
    <w:rsid w:val="008255B9"/>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C16"/>
    <w:rsid w:val="00874FD9"/>
    <w:rsid w:val="00876581"/>
    <w:rsid w:val="00877F88"/>
    <w:rsid w:val="00885F45"/>
    <w:rsid w:val="00886D1F"/>
    <w:rsid w:val="00891EE1"/>
    <w:rsid w:val="00893987"/>
    <w:rsid w:val="008963EF"/>
    <w:rsid w:val="0089688E"/>
    <w:rsid w:val="008A1FBE"/>
    <w:rsid w:val="008A778D"/>
    <w:rsid w:val="008B257A"/>
    <w:rsid w:val="008B3194"/>
    <w:rsid w:val="008B5AE7"/>
    <w:rsid w:val="008B5B1A"/>
    <w:rsid w:val="008B5FBF"/>
    <w:rsid w:val="008C60E9"/>
    <w:rsid w:val="008D1B7C"/>
    <w:rsid w:val="008D6657"/>
    <w:rsid w:val="008E1F60"/>
    <w:rsid w:val="008E307E"/>
    <w:rsid w:val="008E37D7"/>
    <w:rsid w:val="008F3AB0"/>
    <w:rsid w:val="008F4DD1"/>
    <w:rsid w:val="008F6056"/>
    <w:rsid w:val="00902110"/>
    <w:rsid w:val="009023FE"/>
    <w:rsid w:val="009026DF"/>
    <w:rsid w:val="00902C07"/>
    <w:rsid w:val="00904CFA"/>
    <w:rsid w:val="00905804"/>
    <w:rsid w:val="00906547"/>
    <w:rsid w:val="00907084"/>
    <w:rsid w:val="009101E2"/>
    <w:rsid w:val="00914FC7"/>
    <w:rsid w:val="00915D73"/>
    <w:rsid w:val="00916077"/>
    <w:rsid w:val="009170A2"/>
    <w:rsid w:val="00917B0D"/>
    <w:rsid w:val="009208A6"/>
    <w:rsid w:val="00920D76"/>
    <w:rsid w:val="009217F5"/>
    <w:rsid w:val="009222A1"/>
    <w:rsid w:val="00924514"/>
    <w:rsid w:val="00927316"/>
    <w:rsid w:val="0093133D"/>
    <w:rsid w:val="00932336"/>
    <w:rsid w:val="0093276D"/>
    <w:rsid w:val="00933169"/>
    <w:rsid w:val="00933D12"/>
    <w:rsid w:val="00937065"/>
    <w:rsid w:val="00940285"/>
    <w:rsid w:val="009415B0"/>
    <w:rsid w:val="00942C1A"/>
    <w:rsid w:val="00943706"/>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68E6"/>
    <w:rsid w:val="009A7598"/>
    <w:rsid w:val="009B107A"/>
    <w:rsid w:val="009B1DF8"/>
    <w:rsid w:val="009B3D20"/>
    <w:rsid w:val="009B5418"/>
    <w:rsid w:val="009B5519"/>
    <w:rsid w:val="009B7E78"/>
    <w:rsid w:val="009C0727"/>
    <w:rsid w:val="009C32C9"/>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A05016"/>
    <w:rsid w:val="00A0758F"/>
    <w:rsid w:val="00A10C39"/>
    <w:rsid w:val="00A1570A"/>
    <w:rsid w:val="00A17127"/>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76D2"/>
    <w:rsid w:val="00A604A4"/>
    <w:rsid w:val="00A61B7D"/>
    <w:rsid w:val="00A654B9"/>
    <w:rsid w:val="00A65832"/>
    <w:rsid w:val="00A6605B"/>
    <w:rsid w:val="00A66ADC"/>
    <w:rsid w:val="00A7147D"/>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7736"/>
    <w:rsid w:val="00AE10CE"/>
    <w:rsid w:val="00AE2AC0"/>
    <w:rsid w:val="00AE3ECD"/>
    <w:rsid w:val="00AE70D4"/>
    <w:rsid w:val="00AE7868"/>
    <w:rsid w:val="00AF0203"/>
    <w:rsid w:val="00AF0407"/>
    <w:rsid w:val="00AF38A1"/>
    <w:rsid w:val="00AF3D5C"/>
    <w:rsid w:val="00AF4D8B"/>
    <w:rsid w:val="00B025AD"/>
    <w:rsid w:val="00B065B9"/>
    <w:rsid w:val="00B067CA"/>
    <w:rsid w:val="00B12B26"/>
    <w:rsid w:val="00B12B68"/>
    <w:rsid w:val="00B12E69"/>
    <w:rsid w:val="00B15199"/>
    <w:rsid w:val="00B163F8"/>
    <w:rsid w:val="00B241AA"/>
    <w:rsid w:val="00B2472D"/>
    <w:rsid w:val="00B24CA0"/>
    <w:rsid w:val="00B2549F"/>
    <w:rsid w:val="00B25D31"/>
    <w:rsid w:val="00B25ED9"/>
    <w:rsid w:val="00B3039D"/>
    <w:rsid w:val="00B41067"/>
    <w:rsid w:val="00B4108D"/>
    <w:rsid w:val="00B57265"/>
    <w:rsid w:val="00B633AE"/>
    <w:rsid w:val="00B64856"/>
    <w:rsid w:val="00B665D2"/>
    <w:rsid w:val="00B6737C"/>
    <w:rsid w:val="00B71986"/>
    <w:rsid w:val="00B7214D"/>
    <w:rsid w:val="00B74372"/>
    <w:rsid w:val="00B75525"/>
    <w:rsid w:val="00B80283"/>
    <w:rsid w:val="00B8095F"/>
    <w:rsid w:val="00B80B0C"/>
    <w:rsid w:val="00B80B11"/>
    <w:rsid w:val="00B831AE"/>
    <w:rsid w:val="00B83CDA"/>
    <w:rsid w:val="00B8446C"/>
    <w:rsid w:val="00B87725"/>
    <w:rsid w:val="00B90F3D"/>
    <w:rsid w:val="00BA12ED"/>
    <w:rsid w:val="00BA1E70"/>
    <w:rsid w:val="00BA259A"/>
    <w:rsid w:val="00BA259C"/>
    <w:rsid w:val="00BA29D3"/>
    <w:rsid w:val="00BA307F"/>
    <w:rsid w:val="00BA46DD"/>
    <w:rsid w:val="00BA5280"/>
    <w:rsid w:val="00BB14F1"/>
    <w:rsid w:val="00BB47CD"/>
    <w:rsid w:val="00BB4D9B"/>
    <w:rsid w:val="00BB572E"/>
    <w:rsid w:val="00BB74FD"/>
    <w:rsid w:val="00BC4D5C"/>
    <w:rsid w:val="00BC55AE"/>
    <w:rsid w:val="00BC5982"/>
    <w:rsid w:val="00BC60BF"/>
    <w:rsid w:val="00BD28BF"/>
    <w:rsid w:val="00BD303F"/>
    <w:rsid w:val="00BD3ECD"/>
    <w:rsid w:val="00BD5FFC"/>
    <w:rsid w:val="00BD624B"/>
    <w:rsid w:val="00BD6404"/>
    <w:rsid w:val="00BE08E7"/>
    <w:rsid w:val="00BE1A94"/>
    <w:rsid w:val="00BE33AE"/>
    <w:rsid w:val="00BE3F03"/>
    <w:rsid w:val="00BF046F"/>
    <w:rsid w:val="00BF05A5"/>
    <w:rsid w:val="00BF21BD"/>
    <w:rsid w:val="00BF520F"/>
    <w:rsid w:val="00C01D50"/>
    <w:rsid w:val="00C03A16"/>
    <w:rsid w:val="00C056DC"/>
    <w:rsid w:val="00C07089"/>
    <w:rsid w:val="00C1329B"/>
    <w:rsid w:val="00C14203"/>
    <w:rsid w:val="00C1572F"/>
    <w:rsid w:val="00C231CC"/>
    <w:rsid w:val="00C24B87"/>
    <w:rsid w:val="00C24C05"/>
    <w:rsid w:val="00C24D2F"/>
    <w:rsid w:val="00C26222"/>
    <w:rsid w:val="00C31044"/>
    <w:rsid w:val="00C31283"/>
    <w:rsid w:val="00C33C48"/>
    <w:rsid w:val="00C340E5"/>
    <w:rsid w:val="00C35AA7"/>
    <w:rsid w:val="00C37544"/>
    <w:rsid w:val="00C42667"/>
    <w:rsid w:val="00C43BA1"/>
    <w:rsid w:val="00C43DAB"/>
    <w:rsid w:val="00C47F08"/>
    <w:rsid w:val="00C507A3"/>
    <w:rsid w:val="00C514A6"/>
    <w:rsid w:val="00C52328"/>
    <w:rsid w:val="00C5739F"/>
    <w:rsid w:val="00C57C8E"/>
    <w:rsid w:val="00C57CF0"/>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2729"/>
    <w:rsid w:val="00CA3057"/>
    <w:rsid w:val="00CA45F8"/>
    <w:rsid w:val="00CA4893"/>
    <w:rsid w:val="00CB0305"/>
    <w:rsid w:val="00CB33C7"/>
    <w:rsid w:val="00CB6DA7"/>
    <w:rsid w:val="00CB7E4C"/>
    <w:rsid w:val="00CC0C02"/>
    <w:rsid w:val="00CC25B4"/>
    <w:rsid w:val="00CC5F88"/>
    <w:rsid w:val="00CC69C8"/>
    <w:rsid w:val="00CC77A2"/>
    <w:rsid w:val="00CD307E"/>
    <w:rsid w:val="00CD37A9"/>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5F9B"/>
    <w:rsid w:val="00D36B69"/>
    <w:rsid w:val="00D37EFE"/>
    <w:rsid w:val="00D408DD"/>
    <w:rsid w:val="00D41AEE"/>
    <w:rsid w:val="00D437EF"/>
    <w:rsid w:val="00D45D72"/>
    <w:rsid w:val="00D473A5"/>
    <w:rsid w:val="00D500C9"/>
    <w:rsid w:val="00D520E4"/>
    <w:rsid w:val="00D52A12"/>
    <w:rsid w:val="00D53A38"/>
    <w:rsid w:val="00D56127"/>
    <w:rsid w:val="00D57481"/>
    <w:rsid w:val="00D575DD"/>
    <w:rsid w:val="00D57D85"/>
    <w:rsid w:val="00D57DFA"/>
    <w:rsid w:val="00D61885"/>
    <w:rsid w:val="00D6309D"/>
    <w:rsid w:val="00D63D5D"/>
    <w:rsid w:val="00D67FCF"/>
    <w:rsid w:val="00D709CE"/>
    <w:rsid w:val="00D71F73"/>
    <w:rsid w:val="00D77F5E"/>
    <w:rsid w:val="00D80786"/>
    <w:rsid w:val="00D81CAB"/>
    <w:rsid w:val="00D8576F"/>
    <w:rsid w:val="00D8677F"/>
    <w:rsid w:val="00D968D0"/>
    <w:rsid w:val="00D971E8"/>
    <w:rsid w:val="00D97F0C"/>
    <w:rsid w:val="00DA3A86"/>
    <w:rsid w:val="00DA6F7C"/>
    <w:rsid w:val="00DB1A13"/>
    <w:rsid w:val="00DB3A09"/>
    <w:rsid w:val="00DB46AB"/>
    <w:rsid w:val="00DB7A2A"/>
    <w:rsid w:val="00DC17D1"/>
    <w:rsid w:val="00DC2500"/>
    <w:rsid w:val="00DC36A0"/>
    <w:rsid w:val="00DC3FBD"/>
    <w:rsid w:val="00DC4F72"/>
    <w:rsid w:val="00DC516A"/>
    <w:rsid w:val="00DC77DC"/>
    <w:rsid w:val="00DD0453"/>
    <w:rsid w:val="00DD0C2C"/>
    <w:rsid w:val="00DD19DE"/>
    <w:rsid w:val="00DD28BC"/>
    <w:rsid w:val="00DD6B63"/>
    <w:rsid w:val="00DE31F0"/>
    <w:rsid w:val="00DE3D1C"/>
    <w:rsid w:val="00DF2B9C"/>
    <w:rsid w:val="00DF4BE8"/>
    <w:rsid w:val="00E0227D"/>
    <w:rsid w:val="00E039F7"/>
    <w:rsid w:val="00E04B84"/>
    <w:rsid w:val="00E05BC4"/>
    <w:rsid w:val="00E06466"/>
    <w:rsid w:val="00E06835"/>
    <w:rsid w:val="00E06FDA"/>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350D"/>
    <w:rsid w:val="00E65BC6"/>
    <w:rsid w:val="00E661FF"/>
    <w:rsid w:val="00E726EB"/>
    <w:rsid w:val="00E72CF1"/>
    <w:rsid w:val="00E72DF3"/>
    <w:rsid w:val="00E74C9B"/>
    <w:rsid w:val="00E80B52"/>
    <w:rsid w:val="00E817FD"/>
    <w:rsid w:val="00E824C3"/>
    <w:rsid w:val="00E83012"/>
    <w:rsid w:val="00E840B3"/>
    <w:rsid w:val="00E84D10"/>
    <w:rsid w:val="00E8629F"/>
    <w:rsid w:val="00E91008"/>
    <w:rsid w:val="00E9374E"/>
    <w:rsid w:val="00E945AE"/>
    <w:rsid w:val="00E94F54"/>
    <w:rsid w:val="00E96E79"/>
    <w:rsid w:val="00E97AD5"/>
    <w:rsid w:val="00EA1111"/>
    <w:rsid w:val="00EA3074"/>
    <w:rsid w:val="00EA3B4F"/>
    <w:rsid w:val="00EA3C24"/>
    <w:rsid w:val="00EA46AD"/>
    <w:rsid w:val="00EA5B3C"/>
    <w:rsid w:val="00EA73DF"/>
    <w:rsid w:val="00EB61AE"/>
    <w:rsid w:val="00EB6BF7"/>
    <w:rsid w:val="00EC322D"/>
    <w:rsid w:val="00EC50E3"/>
    <w:rsid w:val="00EC7776"/>
    <w:rsid w:val="00ED0EBF"/>
    <w:rsid w:val="00ED383A"/>
    <w:rsid w:val="00EE0083"/>
    <w:rsid w:val="00EE0C1B"/>
    <w:rsid w:val="00EE1080"/>
    <w:rsid w:val="00EE2A18"/>
    <w:rsid w:val="00EE3469"/>
    <w:rsid w:val="00EE39EE"/>
    <w:rsid w:val="00EF0BA8"/>
    <w:rsid w:val="00EF1EC5"/>
    <w:rsid w:val="00EF24D9"/>
    <w:rsid w:val="00EF493E"/>
    <w:rsid w:val="00EF4C88"/>
    <w:rsid w:val="00EF55EB"/>
    <w:rsid w:val="00F00CE1"/>
    <w:rsid w:val="00F00DCC"/>
    <w:rsid w:val="00F0156F"/>
    <w:rsid w:val="00F028AB"/>
    <w:rsid w:val="00F02A8E"/>
    <w:rsid w:val="00F03506"/>
    <w:rsid w:val="00F043CF"/>
    <w:rsid w:val="00F0516C"/>
    <w:rsid w:val="00F05AC8"/>
    <w:rsid w:val="00F06DE4"/>
    <w:rsid w:val="00F07167"/>
    <w:rsid w:val="00F072D8"/>
    <w:rsid w:val="00F07CE0"/>
    <w:rsid w:val="00F10817"/>
    <w:rsid w:val="00F115F5"/>
    <w:rsid w:val="00F121CC"/>
    <w:rsid w:val="00F12E40"/>
    <w:rsid w:val="00F13D05"/>
    <w:rsid w:val="00F1679D"/>
    <w:rsid w:val="00F1682C"/>
    <w:rsid w:val="00F20B91"/>
    <w:rsid w:val="00F21139"/>
    <w:rsid w:val="00F24B8B"/>
    <w:rsid w:val="00F27414"/>
    <w:rsid w:val="00F30D2E"/>
    <w:rsid w:val="00F33930"/>
    <w:rsid w:val="00F34103"/>
    <w:rsid w:val="00F35516"/>
    <w:rsid w:val="00F3554F"/>
    <w:rsid w:val="00F35790"/>
    <w:rsid w:val="00F4136D"/>
    <w:rsid w:val="00F41870"/>
    <w:rsid w:val="00F4212E"/>
    <w:rsid w:val="00F42C20"/>
    <w:rsid w:val="00F43E34"/>
    <w:rsid w:val="00F51F58"/>
    <w:rsid w:val="00F53053"/>
    <w:rsid w:val="00F53881"/>
    <w:rsid w:val="00F53FE2"/>
    <w:rsid w:val="00F575FF"/>
    <w:rsid w:val="00F618EF"/>
    <w:rsid w:val="00F64A66"/>
    <w:rsid w:val="00F65582"/>
    <w:rsid w:val="00F66E75"/>
    <w:rsid w:val="00F672F0"/>
    <w:rsid w:val="00F6785A"/>
    <w:rsid w:val="00F67FE4"/>
    <w:rsid w:val="00F732DF"/>
    <w:rsid w:val="00F73306"/>
    <w:rsid w:val="00F734C8"/>
    <w:rsid w:val="00F74F32"/>
    <w:rsid w:val="00F75401"/>
    <w:rsid w:val="00F77EB0"/>
    <w:rsid w:val="00F82412"/>
    <w:rsid w:val="00F87CDD"/>
    <w:rsid w:val="00F92513"/>
    <w:rsid w:val="00F933F0"/>
    <w:rsid w:val="00F937A3"/>
    <w:rsid w:val="00F94715"/>
    <w:rsid w:val="00F94CC1"/>
    <w:rsid w:val="00F96A3D"/>
    <w:rsid w:val="00FA4718"/>
    <w:rsid w:val="00FA5848"/>
    <w:rsid w:val="00FA6899"/>
    <w:rsid w:val="00FA7F3D"/>
    <w:rsid w:val="00FB05C9"/>
    <w:rsid w:val="00FB389D"/>
    <w:rsid w:val="00FB38D8"/>
    <w:rsid w:val="00FB7104"/>
    <w:rsid w:val="00FC051F"/>
    <w:rsid w:val="00FC06FF"/>
    <w:rsid w:val="00FC1276"/>
    <w:rsid w:val="00FC5214"/>
    <w:rsid w:val="00FC6889"/>
    <w:rsid w:val="00FC69B4"/>
    <w:rsid w:val="00FC7383"/>
    <w:rsid w:val="00FD0694"/>
    <w:rsid w:val="00FD25BE"/>
    <w:rsid w:val="00FD2E70"/>
    <w:rsid w:val="00FD7AA7"/>
    <w:rsid w:val="00FE4A1C"/>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03CEC543-77F7-4BD0-83B9-DCF4110AD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qFormat/>
    <w:locked/>
    <w:rsid w:val="00276D60"/>
    <w:rPr>
      <w:rFonts w:ascii="Arial" w:hAnsi="Arial"/>
      <w:b/>
      <w:lang w:val="zh-CN" w:eastAsia="en-US"/>
    </w:rPr>
  </w:style>
  <w:style w:type="character" w:customStyle="1" w:styleId="maintextChar">
    <w:name w:val="main text Char"/>
    <w:link w:val="maintext"/>
    <w:qFormat/>
    <w:locked/>
    <w:rsid w:val="009217F5"/>
    <w:rPr>
      <w:rFonts w:asciiTheme="minorHAnsi" w:eastAsia="Malgun Gothic" w:hAnsiTheme="minorHAnsi" w:cs="Batang"/>
      <w:sz w:val="22"/>
      <w:szCs w:val="22"/>
      <w:lang w:eastAsia="ko-KR"/>
    </w:rPr>
  </w:style>
  <w:style w:type="paragraph" w:customStyle="1" w:styleId="maintext">
    <w:name w:val="main text"/>
    <w:basedOn w:val="a"/>
    <w:link w:val="maintextChar"/>
    <w:qFormat/>
    <w:rsid w:val="009217F5"/>
    <w:pPr>
      <w:spacing w:before="60" w:after="60" w:line="288" w:lineRule="auto"/>
      <w:ind w:firstLineChars="200" w:firstLine="200"/>
      <w:jc w:val="both"/>
    </w:pPr>
    <w:rPr>
      <w:rFonts w:asciiTheme="minorHAnsi" w:eastAsia="Malgun Gothic" w:hAnsiTheme="minorHAnsi" w:cs="Batang"/>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C71565-C05E-4780-B07C-68BD1B47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Samsung</cp:lastModifiedBy>
  <cp:revision>11</cp:revision>
  <cp:lastPrinted>2019-04-25T01:09:00Z</cp:lastPrinted>
  <dcterms:created xsi:type="dcterms:W3CDTF">2023-02-09T02:29:00Z</dcterms:created>
  <dcterms:modified xsi:type="dcterms:W3CDTF">2023-02-17T06:22:00Z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